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21421" w14:textId="5C571E8A" w:rsidR="007C5997" w:rsidRPr="00BF477F" w:rsidRDefault="00BF477F" w:rsidP="00BF477F">
      <w:pPr>
        <w:pStyle w:val="Logos"/>
        <w:tabs>
          <w:tab w:val="left" w:pos="12600"/>
        </w:tabs>
        <w:jc w:val="center"/>
        <w:rPr>
          <w:sz w:val="18"/>
        </w:rPr>
      </w:pPr>
      <w:bookmarkStart w:id="0" w:name="_Toc433976553"/>
      <w:r w:rsidRPr="00BF477F">
        <w:rPr>
          <w:rFonts w:eastAsia="Arial" w:cs="Arial"/>
          <w:b/>
          <w:color w:val="104F75"/>
          <w:szCs w:val="36"/>
        </w:rPr>
        <w:t xml:space="preserve">Harrold Primary Academy </w:t>
      </w:r>
      <w:r w:rsidR="007C5997" w:rsidRPr="00BF477F">
        <w:rPr>
          <w:rFonts w:eastAsia="Arial" w:cs="Arial"/>
          <w:b/>
          <w:color w:val="104F75"/>
          <w:szCs w:val="36"/>
        </w:rPr>
        <w:t xml:space="preserve">Pupil </w:t>
      </w:r>
      <w:r w:rsidR="00F7659B">
        <w:rPr>
          <w:rFonts w:eastAsia="Arial" w:cs="Arial"/>
          <w:b/>
          <w:color w:val="104F75"/>
          <w:szCs w:val="36"/>
        </w:rPr>
        <w:t>P</w:t>
      </w:r>
      <w:r w:rsidR="007C5997" w:rsidRPr="00BF477F">
        <w:rPr>
          <w:rFonts w:eastAsia="Arial" w:cs="Arial"/>
          <w:b/>
          <w:color w:val="104F75"/>
          <w:szCs w:val="36"/>
        </w:rPr>
        <w:t xml:space="preserve">remium </w:t>
      </w:r>
      <w:r w:rsidR="00F7659B">
        <w:rPr>
          <w:rFonts w:eastAsia="Arial" w:cs="Arial"/>
          <w:b/>
          <w:color w:val="104F75"/>
          <w:szCs w:val="36"/>
        </w:rPr>
        <w:t>S</w:t>
      </w:r>
      <w:r w:rsidR="007C5997" w:rsidRPr="00BF477F">
        <w:rPr>
          <w:rFonts w:eastAsia="Arial" w:cs="Arial"/>
          <w:b/>
          <w:color w:val="104F75"/>
          <w:szCs w:val="36"/>
        </w:rPr>
        <w:t>trategy</w:t>
      </w:r>
      <w:r w:rsidR="006E1BFF" w:rsidRPr="00BF477F">
        <w:rPr>
          <w:rFonts w:eastAsia="Arial" w:cs="Arial"/>
          <w:b/>
          <w:color w:val="104F75"/>
          <w:szCs w:val="36"/>
        </w:rPr>
        <w:t xml:space="preserve"> </w:t>
      </w:r>
      <w:r w:rsidR="00F7659B">
        <w:rPr>
          <w:rFonts w:eastAsia="Arial" w:cs="Arial"/>
          <w:b/>
          <w:color w:val="104F75"/>
          <w:szCs w:val="36"/>
        </w:rPr>
        <w:t>Review</w:t>
      </w:r>
      <w:r w:rsidR="007C5997" w:rsidRPr="00BF477F">
        <w:rPr>
          <w:rFonts w:eastAsia="Arial" w:cs="Arial"/>
          <w:b/>
          <w:color w:val="104F75"/>
          <w:szCs w:val="36"/>
        </w:rPr>
        <w:t>-</w:t>
      </w:r>
      <w:r w:rsidR="008452B6" w:rsidRPr="00BF477F">
        <w:rPr>
          <w:rFonts w:eastAsia="Arial" w:cs="Arial"/>
          <w:b/>
          <w:color w:val="104F75"/>
          <w:szCs w:val="36"/>
        </w:rPr>
        <w:t xml:space="preserve"> </w:t>
      </w:r>
      <w:r w:rsidR="008B366B" w:rsidRPr="00BF477F">
        <w:rPr>
          <w:rFonts w:eastAsia="Arial" w:cs="Arial"/>
          <w:b/>
          <w:color w:val="104F75"/>
          <w:szCs w:val="36"/>
        </w:rPr>
        <w:t>201</w:t>
      </w:r>
      <w:r w:rsidR="001A7D34">
        <w:rPr>
          <w:rFonts w:eastAsia="Arial" w:cs="Arial"/>
          <w:b/>
          <w:color w:val="104F75"/>
          <w:szCs w:val="36"/>
        </w:rPr>
        <w:t>9/20</w:t>
      </w:r>
    </w:p>
    <w:tbl>
      <w:tblPr>
        <w:tblStyle w:val="TableGrid"/>
        <w:tblW w:w="15304" w:type="dxa"/>
        <w:tblLayout w:type="fixed"/>
        <w:tblLook w:val="04A0" w:firstRow="1" w:lastRow="0" w:firstColumn="1" w:lastColumn="0" w:noHBand="0" w:noVBand="1"/>
      </w:tblPr>
      <w:tblGrid>
        <w:gridCol w:w="2658"/>
        <w:gridCol w:w="1163"/>
        <w:gridCol w:w="3744"/>
        <w:gridCol w:w="1077"/>
        <w:gridCol w:w="1843"/>
        <w:gridCol w:w="1843"/>
        <w:gridCol w:w="1134"/>
        <w:gridCol w:w="1842"/>
      </w:tblGrid>
      <w:tr w:rsidR="007C5997" w:rsidRPr="00B80272" w14:paraId="279C0899" w14:textId="77777777" w:rsidTr="005118E3">
        <w:tc>
          <w:tcPr>
            <w:tcW w:w="15304" w:type="dxa"/>
            <w:gridSpan w:val="8"/>
            <w:shd w:val="clear" w:color="auto" w:fill="CFDCE3"/>
            <w:tcMar>
              <w:top w:w="57" w:type="dxa"/>
              <w:bottom w:w="57" w:type="dxa"/>
            </w:tcMar>
          </w:tcPr>
          <w:p w14:paraId="546AFDEB" w14:textId="46D93045" w:rsidR="007C5997" w:rsidRPr="009D5F85" w:rsidRDefault="007C5997" w:rsidP="006A25AD">
            <w:pPr>
              <w:pStyle w:val="ListParagraph"/>
              <w:numPr>
                <w:ilvl w:val="0"/>
                <w:numId w:val="3"/>
              </w:numPr>
              <w:rPr>
                <w:rFonts w:ascii="Arial" w:hAnsi="Arial" w:cs="Arial"/>
                <w:b/>
              </w:rPr>
            </w:pPr>
            <w:r w:rsidRPr="009D5F85">
              <w:rPr>
                <w:rFonts w:ascii="Arial" w:hAnsi="Arial" w:cs="Arial"/>
                <w:b/>
              </w:rPr>
              <w:t>Summary information</w:t>
            </w:r>
          </w:p>
        </w:tc>
      </w:tr>
      <w:tr w:rsidR="009D5F85" w:rsidRPr="00B80272" w14:paraId="33717596" w14:textId="2A9BB6A0" w:rsidTr="009D5F85">
        <w:tc>
          <w:tcPr>
            <w:tcW w:w="2658" w:type="dxa"/>
            <w:tcMar>
              <w:top w:w="57" w:type="dxa"/>
              <w:bottom w:w="57" w:type="dxa"/>
            </w:tcMar>
          </w:tcPr>
          <w:p w14:paraId="2802A276" w14:textId="77777777" w:rsidR="009D5F85" w:rsidRPr="00B80272" w:rsidRDefault="009D5F85" w:rsidP="00785B4E">
            <w:pPr>
              <w:rPr>
                <w:rFonts w:ascii="Arial" w:hAnsi="Arial" w:cs="Arial"/>
                <w:b/>
              </w:rPr>
            </w:pPr>
            <w:r>
              <w:rPr>
                <w:rFonts w:ascii="Arial" w:hAnsi="Arial" w:cs="Arial"/>
                <w:b/>
              </w:rPr>
              <w:t>School</w:t>
            </w:r>
          </w:p>
        </w:tc>
        <w:tc>
          <w:tcPr>
            <w:tcW w:w="5984" w:type="dxa"/>
            <w:gridSpan w:val="3"/>
            <w:tcMar>
              <w:top w:w="57" w:type="dxa"/>
              <w:bottom w:w="57" w:type="dxa"/>
            </w:tcMar>
          </w:tcPr>
          <w:p w14:paraId="081F4A49" w14:textId="6E4A3001" w:rsidR="009D5F85" w:rsidRPr="009E205A" w:rsidRDefault="009D5F85" w:rsidP="00785B4E">
            <w:pPr>
              <w:rPr>
                <w:rFonts w:cs="Arial"/>
                <w:sz w:val="24"/>
                <w:szCs w:val="24"/>
              </w:rPr>
            </w:pPr>
            <w:r>
              <w:rPr>
                <w:rFonts w:cs="Arial"/>
                <w:sz w:val="24"/>
                <w:szCs w:val="24"/>
              </w:rPr>
              <w:t>Harrold Primary Academy</w:t>
            </w:r>
          </w:p>
        </w:tc>
        <w:tc>
          <w:tcPr>
            <w:tcW w:w="3686" w:type="dxa"/>
            <w:gridSpan w:val="2"/>
          </w:tcPr>
          <w:p w14:paraId="161773E7" w14:textId="61E81CC3" w:rsidR="009D5F85" w:rsidRPr="009E205A" w:rsidRDefault="009D5F85" w:rsidP="009D5F85">
            <w:pPr>
              <w:rPr>
                <w:rFonts w:cs="Arial"/>
                <w:sz w:val="24"/>
                <w:szCs w:val="24"/>
              </w:rPr>
            </w:pPr>
            <w:r w:rsidRPr="009D5F85">
              <w:rPr>
                <w:rFonts w:cs="Arial"/>
                <w:sz w:val="24"/>
                <w:szCs w:val="24"/>
              </w:rPr>
              <w:t>Date of most recent PP Review</w:t>
            </w:r>
          </w:p>
        </w:tc>
        <w:tc>
          <w:tcPr>
            <w:tcW w:w="2976" w:type="dxa"/>
            <w:gridSpan w:val="2"/>
          </w:tcPr>
          <w:p w14:paraId="32B9EC0C" w14:textId="7A4417FF" w:rsidR="009D5F85" w:rsidRPr="009E205A" w:rsidRDefault="00F7659B" w:rsidP="009D5F85">
            <w:pPr>
              <w:rPr>
                <w:rFonts w:cs="Arial"/>
                <w:sz w:val="24"/>
                <w:szCs w:val="24"/>
              </w:rPr>
            </w:pPr>
            <w:r>
              <w:rPr>
                <w:rFonts w:cs="Arial"/>
                <w:sz w:val="24"/>
                <w:szCs w:val="24"/>
              </w:rPr>
              <w:t xml:space="preserve">June </w:t>
            </w:r>
            <w:r w:rsidR="001A7D34">
              <w:rPr>
                <w:rFonts w:cs="Arial"/>
                <w:sz w:val="24"/>
                <w:szCs w:val="24"/>
              </w:rPr>
              <w:t>2020</w:t>
            </w:r>
          </w:p>
        </w:tc>
      </w:tr>
      <w:tr w:rsidR="009D5F85" w:rsidRPr="00B80272" w14:paraId="3AB0EE2A" w14:textId="49C761EC" w:rsidTr="009D5F85">
        <w:tc>
          <w:tcPr>
            <w:tcW w:w="2658" w:type="dxa"/>
            <w:tcMar>
              <w:top w:w="57" w:type="dxa"/>
              <w:bottom w:w="57" w:type="dxa"/>
            </w:tcMar>
          </w:tcPr>
          <w:p w14:paraId="22B8D5A2" w14:textId="77777777" w:rsidR="009D5F85" w:rsidRPr="00B80272" w:rsidRDefault="009D5F85" w:rsidP="00785B4E">
            <w:pPr>
              <w:rPr>
                <w:rFonts w:ascii="Arial" w:hAnsi="Arial" w:cs="Arial"/>
                <w:b/>
              </w:rPr>
            </w:pPr>
            <w:r>
              <w:rPr>
                <w:rFonts w:ascii="Arial" w:hAnsi="Arial" w:cs="Arial"/>
                <w:b/>
              </w:rPr>
              <w:t>Academic Year</w:t>
            </w:r>
          </w:p>
        </w:tc>
        <w:tc>
          <w:tcPr>
            <w:tcW w:w="1163" w:type="dxa"/>
            <w:tcMar>
              <w:top w:w="57" w:type="dxa"/>
              <w:bottom w:w="57" w:type="dxa"/>
            </w:tcMar>
          </w:tcPr>
          <w:p w14:paraId="27E86F09" w14:textId="2E5110AB" w:rsidR="009D5F85" w:rsidRPr="009E205A" w:rsidRDefault="009D5F85" w:rsidP="001A7D34">
            <w:pPr>
              <w:rPr>
                <w:rFonts w:cs="Arial"/>
                <w:sz w:val="24"/>
                <w:szCs w:val="24"/>
              </w:rPr>
            </w:pPr>
            <w:r w:rsidRPr="009E205A">
              <w:rPr>
                <w:rFonts w:cs="Arial"/>
                <w:sz w:val="24"/>
                <w:szCs w:val="24"/>
              </w:rPr>
              <w:t>201</w:t>
            </w:r>
            <w:r w:rsidR="001A7D34">
              <w:rPr>
                <w:rFonts w:cs="Arial"/>
                <w:sz w:val="24"/>
                <w:szCs w:val="24"/>
              </w:rPr>
              <w:t>9/20</w:t>
            </w:r>
          </w:p>
        </w:tc>
        <w:tc>
          <w:tcPr>
            <w:tcW w:w="3744" w:type="dxa"/>
          </w:tcPr>
          <w:p w14:paraId="1AF8752D" w14:textId="77777777" w:rsidR="009D5F85" w:rsidRPr="00F970BA" w:rsidRDefault="009D5F85" w:rsidP="00785B4E">
            <w:pPr>
              <w:rPr>
                <w:rFonts w:ascii="Arial" w:hAnsi="Arial" w:cs="Arial"/>
                <w:highlight w:val="yellow"/>
              </w:rPr>
            </w:pPr>
            <w:r w:rsidRPr="00F970BA">
              <w:rPr>
                <w:rFonts w:ascii="Arial" w:hAnsi="Arial" w:cs="Arial"/>
                <w:b/>
              </w:rPr>
              <w:t>Total PP budget</w:t>
            </w:r>
          </w:p>
        </w:tc>
        <w:tc>
          <w:tcPr>
            <w:tcW w:w="1077" w:type="dxa"/>
          </w:tcPr>
          <w:p w14:paraId="48B40F12" w14:textId="37C780BA" w:rsidR="009D5F85" w:rsidRPr="008452B6" w:rsidRDefault="00013432" w:rsidP="00785B4E">
            <w:pPr>
              <w:rPr>
                <w:rFonts w:cs="Arial"/>
                <w:sz w:val="24"/>
                <w:szCs w:val="24"/>
                <w:highlight w:val="yellow"/>
              </w:rPr>
            </w:pPr>
            <w:r>
              <w:rPr>
                <w:rFonts w:cs="Arial"/>
                <w:sz w:val="24"/>
                <w:szCs w:val="24"/>
              </w:rPr>
              <w:t>£12</w:t>
            </w:r>
            <w:r w:rsidR="001A7D34">
              <w:rPr>
                <w:rFonts w:cs="Arial"/>
                <w:sz w:val="24"/>
                <w:szCs w:val="24"/>
              </w:rPr>
              <w:t>,880</w:t>
            </w:r>
          </w:p>
        </w:tc>
        <w:tc>
          <w:tcPr>
            <w:tcW w:w="3686" w:type="dxa"/>
            <w:gridSpan w:val="2"/>
          </w:tcPr>
          <w:p w14:paraId="4A1257CD" w14:textId="72DA539A" w:rsidR="009D5F85" w:rsidRPr="009D5F85" w:rsidRDefault="009D5F85" w:rsidP="009D5F85">
            <w:pPr>
              <w:rPr>
                <w:rFonts w:cs="Arial"/>
                <w:sz w:val="24"/>
                <w:szCs w:val="24"/>
              </w:rPr>
            </w:pPr>
            <w:r>
              <w:rPr>
                <w:rFonts w:cs="Arial"/>
                <w:sz w:val="24"/>
                <w:szCs w:val="24"/>
              </w:rPr>
              <w:t>Date for next</w:t>
            </w:r>
            <w:r w:rsidRPr="009D5F85">
              <w:rPr>
                <w:rFonts w:cs="Arial"/>
                <w:sz w:val="24"/>
                <w:szCs w:val="24"/>
              </w:rPr>
              <w:t xml:space="preserve"> PP</w:t>
            </w:r>
            <w:r>
              <w:rPr>
                <w:rFonts w:cs="Arial"/>
                <w:sz w:val="24"/>
                <w:szCs w:val="24"/>
              </w:rPr>
              <w:t xml:space="preserve"> Strategy</w:t>
            </w:r>
            <w:r w:rsidRPr="009D5F85">
              <w:rPr>
                <w:rFonts w:cs="Arial"/>
                <w:sz w:val="24"/>
                <w:szCs w:val="24"/>
              </w:rPr>
              <w:t xml:space="preserve"> Review</w:t>
            </w:r>
          </w:p>
        </w:tc>
        <w:tc>
          <w:tcPr>
            <w:tcW w:w="2976" w:type="dxa"/>
            <w:gridSpan w:val="2"/>
          </w:tcPr>
          <w:p w14:paraId="010481B1" w14:textId="6A13A8AC" w:rsidR="009D5F85" w:rsidRPr="008452B6" w:rsidRDefault="001A7D34" w:rsidP="009D5F85">
            <w:pPr>
              <w:rPr>
                <w:rFonts w:cs="Arial"/>
                <w:sz w:val="24"/>
                <w:szCs w:val="24"/>
                <w:highlight w:val="yellow"/>
              </w:rPr>
            </w:pPr>
            <w:r>
              <w:rPr>
                <w:rFonts w:cs="Arial"/>
                <w:sz w:val="24"/>
                <w:szCs w:val="24"/>
              </w:rPr>
              <w:t>J</w:t>
            </w:r>
            <w:r w:rsidR="00F7659B">
              <w:rPr>
                <w:rFonts w:cs="Arial"/>
                <w:sz w:val="24"/>
                <w:szCs w:val="24"/>
              </w:rPr>
              <w:t>une</w:t>
            </w:r>
            <w:r>
              <w:rPr>
                <w:rFonts w:cs="Arial"/>
                <w:sz w:val="24"/>
                <w:szCs w:val="24"/>
              </w:rPr>
              <w:t xml:space="preserve"> 2021</w:t>
            </w:r>
          </w:p>
        </w:tc>
      </w:tr>
      <w:tr w:rsidR="00A02BC0" w:rsidRPr="00B80272" w14:paraId="1277D3A2" w14:textId="052947CD" w:rsidTr="009D5F85">
        <w:tc>
          <w:tcPr>
            <w:tcW w:w="2658" w:type="dxa"/>
            <w:tcMar>
              <w:top w:w="57" w:type="dxa"/>
              <w:bottom w:w="57" w:type="dxa"/>
            </w:tcMar>
          </w:tcPr>
          <w:p w14:paraId="30AD9C26" w14:textId="77777777" w:rsidR="00A02BC0" w:rsidRPr="00B80272" w:rsidRDefault="00A02BC0" w:rsidP="00785B4E">
            <w:pPr>
              <w:rPr>
                <w:rFonts w:ascii="Arial" w:hAnsi="Arial" w:cs="Arial"/>
              </w:rPr>
            </w:pPr>
            <w:r>
              <w:rPr>
                <w:rFonts w:ascii="Arial" w:hAnsi="Arial" w:cs="Arial"/>
                <w:b/>
              </w:rPr>
              <w:t>Total number of pupils</w:t>
            </w:r>
          </w:p>
        </w:tc>
        <w:tc>
          <w:tcPr>
            <w:tcW w:w="1163" w:type="dxa"/>
            <w:tcMar>
              <w:top w:w="57" w:type="dxa"/>
              <w:bottom w:w="57" w:type="dxa"/>
            </w:tcMar>
          </w:tcPr>
          <w:p w14:paraId="0F4C1DF2" w14:textId="3E739D14" w:rsidR="00A02BC0" w:rsidRPr="009E205A" w:rsidRDefault="001A7D34" w:rsidP="009D5F85">
            <w:pPr>
              <w:jc w:val="center"/>
              <w:rPr>
                <w:rFonts w:cs="Arial"/>
                <w:sz w:val="24"/>
                <w:szCs w:val="24"/>
              </w:rPr>
            </w:pPr>
            <w:r>
              <w:rPr>
                <w:rFonts w:cs="Arial"/>
                <w:sz w:val="24"/>
                <w:szCs w:val="24"/>
              </w:rPr>
              <w:t>152</w:t>
            </w:r>
          </w:p>
        </w:tc>
        <w:tc>
          <w:tcPr>
            <w:tcW w:w="3744" w:type="dxa"/>
          </w:tcPr>
          <w:p w14:paraId="762592F8" w14:textId="77777777" w:rsidR="00A02BC0" w:rsidRPr="00B80272" w:rsidRDefault="00A02BC0" w:rsidP="00785B4E">
            <w:pPr>
              <w:rPr>
                <w:rFonts w:ascii="Arial" w:hAnsi="Arial" w:cs="Arial"/>
              </w:rPr>
            </w:pPr>
            <w:r w:rsidRPr="00B80272">
              <w:rPr>
                <w:rFonts w:ascii="Arial" w:hAnsi="Arial" w:cs="Arial"/>
                <w:b/>
              </w:rPr>
              <w:t>Number of pupils eligible for PP</w:t>
            </w:r>
          </w:p>
        </w:tc>
        <w:tc>
          <w:tcPr>
            <w:tcW w:w="1077" w:type="dxa"/>
            <w:shd w:val="clear" w:color="auto" w:fill="auto"/>
          </w:tcPr>
          <w:p w14:paraId="1A842DEE" w14:textId="1BAA40EF" w:rsidR="00A02BC0" w:rsidRPr="008452B6" w:rsidRDefault="001A7D34" w:rsidP="009D5F85">
            <w:pPr>
              <w:jc w:val="center"/>
              <w:rPr>
                <w:rFonts w:cs="Arial"/>
                <w:sz w:val="24"/>
                <w:szCs w:val="24"/>
                <w:highlight w:val="yellow"/>
              </w:rPr>
            </w:pPr>
            <w:r>
              <w:rPr>
                <w:rFonts w:cs="Arial"/>
                <w:sz w:val="24"/>
                <w:szCs w:val="24"/>
              </w:rPr>
              <w:t>8</w:t>
            </w:r>
          </w:p>
        </w:tc>
        <w:tc>
          <w:tcPr>
            <w:tcW w:w="1843" w:type="dxa"/>
            <w:shd w:val="clear" w:color="auto" w:fill="auto"/>
          </w:tcPr>
          <w:p w14:paraId="62B479EE" w14:textId="158DDCB8" w:rsidR="00A02BC0" w:rsidRPr="00A02BC0" w:rsidRDefault="00A02BC0" w:rsidP="00A02BC0">
            <w:pPr>
              <w:jc w:val="center"/>
              <w:rPr>
                <w:rFonts w:cs="Arial"/>
                <w:sz w:val="24"/>
                <w:szCs w:val="24"/>
              </w:rPr>
            </w:pPr>
            <w:r w:rsidRPr="00A02BC0">
              <w:rPr>
                <w:rFonts w:cs="Arial"/>
                <w:sz w:val="24"/>
                <w:szCs w:val="24"/>
              </w:rPr>
              <w:t>LAC</w:t>
            </w:r>
          </w:p>
        </w:tc>
        <w:tc>
          <w:tcPr>
            <w:tcW w:w="1843" w:type="dxa"/>
            <w:shd w:val="clear" w:color="auto" w:fill="auto"/>
          </w:tcPr>
          <w:p w14:paraId="14EF921C" w14:textId="163CD3F6" w:rsidR="00A02BC0" w:rsidRPr="00A02BC0" w:rsidRDefault="001A7D34" w:rsidP="009D5F85">
            <w:pPr>
              <w:jc w:val="center"/>
              <w:rPr>
                <w:rFonts w:cs="Arial"/>
                <w:sz w:val="24"/>
                <w:szCs w:val="24"/>
              </w:rPr>
            </w:pPr>
            <w:r>
              <w:rPr>
                <w:rFonts w:cs="Arial"/>
                <w:sz w:val="24"/>
                <w:szCs w:val="24"/>
              </w:rPr>
              <w:t>1</w:t>
            </w:r>
          </w:p>
        </w:tc>
        <w:tc>
          <w:tcPr>
            <w:tcW w:w="1134" w:type="dxa"/>
            <w:shd w:val="clear" w:color="auto" w:fill="auto"/>
          </w:tcPr>
          <w:p w14:paraId="20F6822F" w14:textId="77777777" w:rsidR="00A02BC0" w:rsidRDefault="00A02BC0" w:rsidP="00A02BC0">
            <w:pPr>
              <w:jc w:val="center"/>
              <w:rPr>
                <w:rFonts w:cs="Arial"/>
                <w:sz w:val="24"/>
                <w:szCs w:val="24"/>
              </w:rPr>
            </w:pPr>
            <w:r>
              <w:rPr>
                <w:rFonts w:cs="Arial"/>
                <w:sz w:val="24"/>
                <w:szCs w:val="24"/>
              </w:rPr>
              <w:t>FSM</w:t>
            </w:r>
          </w:p>
          <w:p w14:paraId="61CF3956" w14:textId="28ED4E73" w:rsidR="00A02BC0" w:rsidRPr="00A02BC0" w:rsidRDefault="00A02BC0" w:rsidP="00A02BC0">
            <w:pPr>
              <w:jc w:val="center"/>
              <w:rPr>
                <w:rFonts w:cs="Arial"/>
                <w:sz w:val="24"/>
                <w:szCs w:val="24"/>
              </w:rPr>
            </w:pPr>
            <w:r>
              <w:rPr>
                <w:rFonts w:cs="Arial"/>
                <w:sz w:val="24"/>
                <w:szCs w:val="24"/>
              </w:rPr>
              <w:t>E6</w:t>
            </w:r>
          </w:p>
        </w:tc>
        <w:tc>
          <w:tcPr>
            <w:tcW w:w="1842" w:type="dxa"/>
            <w:shd w:val="clear" w:color="auto" w:fill="auto"/>
          </w:tcPr>
          <w:p w14:paraId="1BB431B5" w14:textId="62EADDE9" w:rsidR="00A02BC0" w:rsidRPr="00A02BC0" w:rsidRDefault="001A7D34" w:rsidP="009D5F85">
            <w:pPr>
              <w:jc w:val="center"/>
              <w:rPr>
                <w:rFonts w:cs="Arial"/>
                <w:sz w:val="24"/>
                <w:szCs w:val="24"/>
              </w:rPr>
            </w:pPr>
            <w:r>
              <w:rPr>
                <w:rFonts w:cs="Arial"/>
                <w:sz w:val="24"/>
                <w:szCs w:val="24"/>
              </w:rPr>
              <w:t>9</w:t>
            </w:r>
          </w:p>
        </w:tc>
      </w:tr>
    </w:tbl>
    <w:p w14:paraId="19FEB2CA" w14:textId="4FAA0E40" w:rsidR="007C5997" w:rsidRDefault="007C5997" w:rsidP="007C5997">
      <w:pPr>
        <w:rPr>
          <w:rFonts w:ascii="Arial" w:hAnsi="Arial" w:cs="Arial"/>
          <w:sz w:val="16"/>
          <w:szCs w:val="16"/>
        </w:rPr>
      </w:pPr>
    </w:p>
    <w:tbl>
      <w:tblPr>
        <w:tblStyle w:val="TableGrid"/>
        <w:tblW w:w="15417" w:type="dxa"/>
        <w:tblLayout w:type="fixed"/>
        <w:tblLook w:val="04A0" w:firstRow="1" w:lastRow="0" w:firstColumn="1" w:lastColumn="0" w:noHBand="0" w:noVBand="1"/>
      </w:tblPr>
      <w:tblGrid>
        <w:gridCol w:w="15417"/>
      </w:tblGrid>
      <w:tr w:rsidR="003C7C59" w:rsidRPr="00B80272" w14:paraId="58B4510F" w14:textId="77777777" w:rsidTr="008C56BB">
        <w:tc>
          <w:tcPr>
            <w:tcW w:w="15417" w:type="dxa"/>
            <w:shd w:val="clear" w:color="auto" w:fill="CFDCE3"/>
            <w:tcMar>
              <w:top w:w="57" w:type="dxa"/>
              <w:bottom w:w="57" w:type="dxa"/>
            </w:tcMar>
          </w:tcPr>
          <w:p w14:paraId="39D26D35" w14:textId="5962006C" w:rsidR="003C7C59" w:rsidRPr="00B12E18" w:rsidRDefault="003C7C59" w:rsidP="008C56BB">
            <w:pPr>
              <w:rPr>
                <w:rFonts w:ascii="Arial" w:hAnsi="Arial" w:cs="Arial"/>
                <w:b/>
              </w:rPr>
            </w:pPr>
            <w:r>
              <w:rPr>
                <w:rFonts w:ascii="Arial" w:hAnsi="Arial" w:cs="Arial"/>
                <w:b/>
              </w:rPr>
              <w:t xml:space="preserve">Pupil Premium at Harrold  </w:t>
            </w:r>
          </w:p>
        </w:tc>
      </w:tr>
      <w:tr w:rsidR="003C7C59" w:rsidRPr="009E205A" w14:paraId="59F65C91" w14:textId="77777777" w:rsidTr="008C56BB">
        <w:tc>
          <w:tcPr>
            <w:tcW w:w="15417" w:type="dxa"/>
            <w:tcMar>
              <w:top w:w="57" w:type="dxa"/>
              <w:bottom w:w="57" w:type="dxa"/>
            </w:tcMar>
          </w:tcPr>
          <w:p w14:paraId="6567CB7D" w14:textId="5EB92CC2" w:rsidR="003C7C59" w:rsidRPr="003C7C59" w:rsidRDefault="003C7C59" w:rsidP="008C56BB">
            <w:pPr>
              <w:rPr>
                <w:rFonts w:cs="Arial"/>
                <w:szCs w:val="24"/>
              </w:rPr>
            </w:pPr>
            <w:r w:rsidRPr="003C7C59">
              <w:rPr>
                <w:rFonts w:cs="Arial"/>
                <w:szCs w:val="24"/>
              </w:rPr>
              <w:t>The funding</w:t>
            </w:r>
            <w:r>
              <w:rPr>
                <w:rFonts w:cs="Arial"/>
                <w:szCs w:val="24"/>
              </w:rPr>
              <w:t xml:space="preserve"> </w:t>
            </w:r>
            <w:r w:rsidRPr="003C7C59">
              <w:rPr>
                <w:rFonts w:cs="Arial"/>
                <w:szCs w:val="24"/>
              </w:rPr>
              <w:t>is allocated to initiatives to ensure pupils reach their full potential, both academically and socially.  We stri</w:t>
            </w:r>
            <w:r>
              <w:rPr>
                <w:rFonts w:cs="Arial"/>
                <w:szCs w:val="24"/>
              </w:rPr>
              <w:t>ve to ensure that all pupils at</w:t>
            </w:r>
            <w:r w:rsidRPr="003C7C59">
              <w:rPr>
                <w:rFonts w:cs="Arial"/>
                <w:szCs w:val="24"/>
              </w:rPr>
              <w:t xml:space="preserve"> Harrold Primary Academy make expected levels of progress each year.  Pupil Premium funding is spent on supporting individual pupils in the classroom by providing </w:t>
            </w:r>
            <w:r w:rsidRPr="003C7C59">
              <w:rPr>
                <w:rFonts w:cs="Arial"/>
                <w:bCs/>
                <w:szCs w:val="24"/>
              </w:rPr>
              <w:t>Quality First Te</w:t>
            </w:r>
            <w:r>
              <w:rPr>
                <w:rFonts w:cs="Arial"/>
                <w:bCs/>
                <w:szCs w:val="24"/>
              </w:rPr>
              <w:t>aching, targeted intervention, p</w:t>
            </w:r>
            <w:r w:rsidRPr="003C7C59">
              <w:rPr>
                <w:rFonts w:cs="Arial"/>
                <w:bCs/>
                <w:szCs w:val="24"/>
              </w:rPr>
              <w:t xml:space="preserve">astoral support through </w:t>
            </w:r>
            <w:r>
              <w:rPr>
                <w:rFonts w:cs="Arial"/>
                <w:bCs/>
                <w:szCs w:val="24"/>
              </w:rPr>
              <w:t>a behaviour lead</w:t>
            </w:r>
            <w:r w:rsidRPr="003C7C59">
              <w:rPr>
                <w:rFonts w:cs="Arial"/>
                <w:bCs/>
                <w:szCs w:val="24"/>
              </w:rPr>
              <w:t>, behaviour support and curriculum enhanced activities and experiences.</w:t>
            </w:r>
          </w:p>
        </w:tc>
      </w:tr>
    </w:tbl>
    <w:p w14:paraId="49F18A50" w14:textId="77777777" w:rsidR="003C7C59" w:rsidRDefault="003C7C59" w:rsidP="007C5997">
      <w:pPr>
        <w:rPr>
          <w:rFonts w:ascii="Arial" w:hAnsi="Arial" w:cs="Arial"/>
          <w:sz w:val="16"/>
          <w:szCs w:val="16"/>
        </w:rPr>
      </w:pPr>
    </w:p>
    <w:bookmarkEnd w:id="0"/>
    <w:p w14:paraId="081C7985" w14:textId="037FE0FE" w:rsidR="007C5997" w:rsidRDefault="007C5997">
      <w:pPr>
        <w:rPr>
          <w:rFonts w:ascii="Arial" w:hAnsi="Arial" w:cs="Arial"/>
          <w:sz w:val="16"/>
          <w:szCs w:val="16"/>
        </w:rPr>
      </w:pPr>
    </w:p>
    <w:tbl>
      <w:tblPr>
        <w:tblStyle w:val="TableGrid"/>
        <w:tblW w:w="15372" w:type="dxa"/>
        <w:tblLayout w:type="fixed"/>
        <w:tblLook w:val="04A0" w:firstRow="1" w:lastRow="0" w:firstColumn="1" w:lastColumn="0" w:noHBand="0" w:noVBand="1"/>
      </w:tblPr>
      <w:tblGrid>
        <w:gridCol w:w="15372"/>
      </w:tblGrid>
      <w:tr w:rsidR="00B12E18" w:rsidRPr="00B80272" w14:paraId="38617922" w14:textId="77777777" w:rsidTr="009D5F85">
        <w:trPr>
          <w:trHeight w:val="255"/>
        </w:trPr>
        <w:tc>
          <w:tcPr>
            <w:tcW w:w="15372" w:type="dxa"/>
            <w:shd w:val="clear" w:color="auto" w:fill="CFDCE3"/>
            <w:tcMar>
              <w:top w:w="57" w:type="dxa"/>
              <w:bottom w:w="57" w:type="dxa"/>
            </w:tcMar>
          </w:tcPr>
          <w:p w14:paraId="0C2D13E9" w14:textId="1D95C35C" w:rsidR="00B12E18" w:rsidRPr="00B12E18" w:rsidRDefault="00B12E18" w:rsidP="00B12E18">
            <w:pPr>
              <w:rPr>
                <w:rFonts w:ascii="Arial" w:hAnsi="Arial" w:cs="Arial"/>
                <w:b/>
              </w:rPr>
            </w:pPr>
            <w:r>
              <w:rPr>
                <w:rFonts w:ascii="Arial" w:hAnsi="Arial" w:cs="Arial"/>
                <w:b/>
              </w:rPr>
              <w:t xml:space="preserve">Mission Statement  </w:t>
            </w:r>
          </w:p>
        </w:tc>
      </w:tr>
      <w:tr w:rsidR="00B12E18" w:rsidRPr="009E205A" w14:paraId="3CEFECC3" w14:textId="77777777" w:rsidTr="009D5F85">
        <w:trPr>
          <w:trHeight w:val="1650"/>
        </w:trPr>
        <w:tc>
          <w:tcPr>
            <w:tcW w:w="15372" w:type="dxa"/>
            <w:tcMar>
              <w:top w:w="57" w:type="dxa"/>
              <w:bottom w:w="57" w:type="dxa"/>
            </w:tcMar>
          </w:tcPr>
          <w:p w14:paraId="6097F97E" w14:textId="25177028" w:rsidR="00805B2F" w:rsidRDefault="00805B2F" w:rsidP="00805B2F">
            <w:pPr>
              <w:rPr>
                <w:rFonts w:cs="Arial"/>
                <w:szCs w:val="24"/>
              </w:rPr>
            </w:pPr>
            <w:r>
              <w:rPr>
                <w:rFonts w:cs="Arial"/>
                <w:szCs w:val="24"/>
              </w:rPr>
              <w:t xml:space="preserve">Pupil Premium is an allocation of additional funding provided to schools to support groups of children who have previously or are now receiving free school meals. At </w:t>
            </w:r>
            <w:r w:rsidR="0047027D">
              <w:rPr>
                <w:rFonts w:cs="Arial"/>
                <w:szCs w:val="24"/>
              </w:rPr>
              <w:t xml:space="preserve">Harrold </w:t>
            </w:r>
            <w:r>
              <w:rPr>
                <w:rFonts w:cs="Arial"/>
                <w:szCs w:val="24"/>
              </w:rPr>
              <w:t xml:space="preserve">Primary Academy we aim to meet the needs of every individual and we strive to ensure that they all achieve their full potential. The funding is used to support and enhance the educational experience of pupils designated as Pupil Premium. Through research into effective ways to spend this funding </w:t>
            </w:r>
            <w:r w:rsidR="00A167A8">
              <w:rPr>
                <w:rFonts w:cs="Arial"/>
                <w:szCs w:val="24"/>
              </w:rPr>
              <w:t xml:space="preserve">and looking at our pupils needs, </w:t>
            </w:r>
            <w:r>
              <w:rPr>
                <w:rFonts w:cs="Arial"/>
                <w:szCs w:val="24"/>
              </w:rPr>
              <w:t>we have developed a plan linked to our school which outlines how we have chosen to allocate this money. The provision we provide is monitored and evaluated in terms of academic progress and outcomes, well-being and their readiness for the next steps in their education.</w:t>
            </w:r>
          </w:p>
          <w:p w14:paraId="1ACCC6B6" w14:textId="427CF5E5" w:rsidR="00B12E18" w:rsidRPr="00A167A8" w:rsidRDefault="00274DD8" w:rsidP="00C8694D">
            <w:pPr>
              <w:rPr>
                <w:rFonts w:cs="Arial"/>
              </w:rPr>
            </w:pPr>
            <w:r w:rsidRPr="00A167A8">
              <w:rPr>
                <w:rFonts w:cs="Arial"/>
              </w:rPr>
              <w:t>As a SLT</w:t>
            </w:r>
            <w:r w:rsidR="00F24F2D" w:rsidRPr="00A167A8">
              <w:rPr>
                <w:rFonts w:cs="Arial"/>
              </w:rPr>
              <w:t xml:space="preserve"> we set high expectations and lead by example. We hold all staff responsible for raising attainment rather than accepting low aspirations and variable performance. </w:t>
            </w:r>
          </w:p>
        </w:tc>
      </w:tr>
    </w:tbl>
    <w:p w14:paraId="43512385" w14:textId="740A1096" w:rsidR="00CF1B9B" w:rsidRDefault="00CF1B9B"/>
    <w:tbl>
      <w:tblPr>
        <w:tblStyle w:val="TableGrid"/>
        <w:tblW w:w="0" w:type="auto"/>
        <w:tblLook w:val="04A0" w:firstRow="1" w:lastRow="0" w:firstColumn="1" w:lastColumn="0" w:noHBand="0" w:noVBand="1"/>
      </w:tblPr>
      <w:tblGrid>
        <w:gridCol w:w="15126"/>
      </w:tblGrid>
      <w:tr w:rsidR="00202096" w14:paraId="21C8C2CF" w14:textId="77777777" w:rsidTr="00202096">
        <w:tc>
          <w:tcPr>
            <w:tcW w:w="15126" w:type="dxa"/>
            <w:shd w:val="clear" w:color="auto" w:fill="DBE5F1" w:themeFill="accent1" w:themeFillTint="33"/>
          </w:tcPr>
          <w:p w14:paraId="5F963DAB" w14:textId="4885E33B" w:rsidR="00202096" w:rsidRPr="00202096" w:rsidRDefault="00202096">
            <w:pPr>
              <w:rPr>
                <w:rFonts w:ascii="Arial" w:hAnsi="Arial" w:cs="Arial"/>
                <w:b/>
              </w:rPr>
            </w:pPr>
            <w:r w:rsidRPr="00202096">
              <w:rPr>
                <w:rFonts w:ascii="Arial" w:hAnsi="Arial" w:cs="Arial"/>
                <w:b/>
              </w:rPr>
              <w:t xml:space="preserve">COVID-19 </w:t>
            </w:r>
          </w:p>
        </w:tc>
      </w:tr>
      <w:tr w:rsidR="00202096" w14:paraId="731BE98D" w14:textId="77777777" w:rsidTr="00202096">
        <w:tc>
          <w:tcPr>
            <w:tcW w:w="15126" w:type="dxa"/>
          </w:tcPr>
          <w:p w14:paraId="3D54375A" w14:textId="77777777" w:rsidR="00202096" w:rsidRDefault="00202096" w:rsidP="00202096">
            <w:r>
              <w:t xml:space="preserve">Due to the COVID-19 pandemic, there have been changes to our educational provision.  The detail in the schools Pupil Premium strategy has been subject to review since March 2020. During the pandemic, the school has attempted to maintain the actions of this strategy, where possible, and has ensured that we have adapted elements to meet pupils’ needs as they have arisen.  </w:t>
            </w:r>
          </w:p>
          <w:p w14:paraId="3A365AAC" w14:textId="2BE02BD6" w:rsidR="00202096" w:rsidRDefault="00202096" w:rsidP="00202096">
            <w:r>
              <w:t>From lockdown (1) to full school re-opening, the following key steps have been taken to ensure that barriers to learning for our disadvantaged pupils remain minimal.</w:t>
            </w:r>
          </w:p>
          <w:p w14:paraId="52415A7D" w14:textId="77777777" w:rsidR="00202096" w:rsidRDefault="00202096" w:rsidP="00202096">
            <w:pPr>
              <w:pStyle w:val="ListParagraph"/>
              <w:numPr>
                <w:ilvl w:val="0"/>
                <w:numId w:val="39"/>
              </w:numPr>
            </w:pPr>
            <w:r>
              <w:t>Children attended school regularly</w:t>
            </w:r>
          </w:p>
          <w:p w14:paraId="30395DBB" w14:textId="77777777" w:rsidR="00202096" w:rsidRDefault="00202096" w:rsidP="00202096">
            <w:pPr>
              <w:pStyle w:val="ListParagraph"/>
              <w:numPr>
                <w:ilvl w:val="0"/>
                <w:numId w:val="39"/>
              </w:numPr>
            </w:pPr>
            <w:r>
              <w:t>Children being able to access remote learning</w:t>
            </w:r>
          </w:p>
          <w:p w14:paraId="23CD8D20" w14:textId="77777777" w:rsidR="00202096" w:rsidRDefault="00202096" w:rsidP="00202096">
            <w:pPr>
              <w:pStyle w:val="ListParagraph"/>
              <w:numPr>
                <w:ilvl w:val="0"/>
                <w:numId w:val="39"/>
              </w:numPr>
            </w:pPr>
            <w:r>
              <w:t>Children having the correct tools/resources to complete home learning</w:t>
            </w:r>
          </w:p>
          <w:p w14:paraId="2DE63214" w14:textId="777C2AE4" w:rsidR="00202096" w:rsidRDefault="00202096" w:rsidP="00202096">
            <w:pPr>
              <w:pStyle w:val="ListParagraph"/>
              <w:numPr>
                <w:ilvl w:val="0"/>
                <w:numId w:val="39"/>
              </w:numPr>
            </w:pPr>
            <w:r>
              <w:t>Family/teacher support through daily/weekly contact (virtual)</w:t>
            </w:r>
          </w:p>
        </w:tc>
      </w:tr>
    </w:tbl>
    <w:p w14:paraId="5D04BCE2" w14:textId="489FA4F3" w:rsidR="00F24F2D" w:rsidRDefault="00F24F2D" w:rsidP="0004731E"/>
    <w:tbl>
      <w:tblPr>
        <w:tblStyle w:val="TableGrid"/>
        <w:tblW w:w="0" w:type="auto"/>
        <w:tblLook w:val="04A0" w:firstRow="1" w:lastRow="0" w:firstColumn="1" w:lastColumn="0" w:noHBand="0" w:noVBand="1"/>
      </w:tblPr>
      <w:tblGrid>
        <w:gridCol w:w="2689"/>
        <w:gridCol w:w="12437"/>
      </w:tblGrid>
      <w:tr w:rsidR="00F24F2D" w:rsidRPr="00F24F2D" w14:paraId="75807AD2" w14:textId="77777777" w:rsidTr="00F24F2D">
        <w:tc>
          <w:tcPr>
            <w:tcW w:w="15126" w:type="dxa"/>
            <w:gridSpan w:val="2"/>
            <w:shd w:val="clear" w:color="auto" w:fill="B8CCE4" w:themeFill="accent1" w:themeFillTint="66"/>
          </w:tcPr>
          <w:p w14:paraId="5EC98F04" w14:textId="598B7592" w:rsidR="00F24F2D" w:rsidRPr="00F24F2D" w:rsidRDefault="008004C0" w:rsidP="0004731E">
            <w:pPr>
              <w:rPr>
                <w:sz w:val="20"/>
                <w:szCs w:val="20"/>
              </w:rPr>
            </w:pPr>
            <w:r>
              <w:rPr>
                <w:sz w:val="20"/>
                <w:szCs w:val="20"/>
              </w:rPr>
              <w:t>Review of expenditure (J</w:t>
            </w:r>
            <w:r w:rsidR="00202096">
              <w:rPr>
                <w:sz w:val="20"/>
                <w:szCs w:val="20"/>
              </w:rPr>
              <w:t>une</w:t>
            </w:r>
            <w:r w:rsidR="00F24F2D" w:rsidRPr="00F24F2D">
              <w:rPr>
                <w:sz w:val="20"/>
                <w:szCs w:val="20"/>
              </w:rPr>
              <w:t xml:space="preserve"> 202</w:t>
            </w:r>
            <w:r w:rsidR="0032149E">
              <w:rPr>
                <w:sz w:val="20"/>
                <w:szCs w:val="20"/>
              </w:rPr>
              <w:t>1</w:t>
            </w:r>
            <w:r w:rsidR="00F24F2D" w:rsidRPr="00F24F2D">
              <w:rPr>
                <w:sz w:val="20"/>
                <w:szCs w:val="20"/>
              </w:rPr>
              <w:t>)</w:t>
            </w:r>
          </w:p>
        </w:tc>
      </w:tr>
      <w:tr w:rsidR="00F24F2D" w:rsidRPr="00F24F2D" w14:paraId="1DA69FE5" w14:textId="77777777" w:rsidTr="00FC7C32">
        <w:tc>
          <w:tcPr>
            <w:tcW w:w="2689" w:type="dxa"/>
            <w:shd w:val="clear" w:color="auto" w:fill="00B0F0"/>
          </w:tcPr>
          <w:p w14:paraId="5CF4B97B" w14:textId="5323E729" w:rsidR="00F24F2D" w:rsidRPr="00F24F2D" w:rsidRDefault="00F24F2D" w:rsidP="0004731E">
            <w:pPr>
              <w:rPr>
                <w:sz w:val="20"/>
                <w:szCs w:val="20"/>
              </w:rPr>
            </w:pPr>
            <w:r w:rsidRPr="00F24F2D">
              <w:rPr>
                <w:sz w:val="20"/>
                <w:szCs w:val="20"/>
              </w:rPr>
              <w:t>Academic Year</w:t>
            </w:r>
          </w:p>
        </w:tc>
        <w:tc>
          <w:tcPr>
            <w:tcW w:w="12437" w:type="dxa"/>
            <w:shd w:val="clear" w:color="auto" w:fill="00B0F0"/>
          </w:tcPr>
          <w:p w14:paraId="7FC758CD" w14:textId="7EA4A69D" w:rsidR="00F24F2D" w:rsidRPr="00F24F2D" w:rsidRDefault="008004C0" w:rsidP="0004731E">
            <w:pPr>
              <w:rPr>
                <w:sz w:val="20"/>
                <w:szCs w:val="20"/>
              </w:rPr>
            </w:pPr>
            <w:r>
              <w:rPr>
                <w:sz w:val="20"/>
                <w:szCs w:val="20"/>
              </w:rPr>
              <w:t>2019-20</w:t>
            </w:r>
          </w:p>
        </w:tc>
      </w:tr>
      <w:tr w:rsidR="00F24F2D" w:rsidRPr="00F24F2D" w14:paraId="3CC5F973" w14:textId="77777777" w:rsidTr="0032149E">
        <w:tc>
          <w:tcPr>
            <w:tcW w:w="15126" w:type="dxa"/>
            <w:gridSpan w:val="2"/>
            <w:shd w:val="clear" w:color="auto" w:fill="00B0F0"/>
          </w:tcPr>
          <w:p w14:paraId="6A28DD7D" w14:textId="4074C78A" w:rsidR="00F24F2D" w:rsidRPr="00F24F2D" w:rsidRDefault="00F24F2D" w:rsidP="00F24F2D">
            <w:pPr>
              <w:pStyle w:val="ListParagraph"/>
              <w:numPr>
                <w:ilvl w:val="0"/>
                <w:numId w:val="18"/>
              </w:numPr>
              <w:rPr>
                <w:sz w:val="20"/>
                <w:szCs w:val="20"/>
              </w:rPr>
            </w:pPr>
            <w:r w:rsidRPr="00F24F2D">
              <w:rPr>
                <w:sz w:val="20"/>
                <w:szCs w:val="20"/>
              </w:rPr>
              <w:t>Quality of teaching for all</w:t>
            </w:r>
          </w:p>
        </w:tc>
      </w:tr>
      <w:tr w:rsidR="005A4947" w:rsidRPr="00F24F2D" w14:paraId="5D6BF44E" w14:textId="77777777" w:rsidTr="009B3101">
        <w:tc>
          <w:tcPr>
            <w:tcW w:w="2689" w:type="dxa"/>
            <w:shd w:val="clear" w:color="auto" w:fill="B8CCE4" w:themeFill="accent1" w:themeFillTint="66"/>
          </w:tcPr>
          <w:p w14:paraId="11FF7FFB" w14:textId="17185924" w:rsidR="005A4947" w:rsidRPr="00F24F2D" w:rsidRDefault="005A4947" w:rsidP="0004731E">
            <w:pPr>
              <w:rPr>
                <w:sz w:val="20"/>
                <w:szCs w:val="20"/>
              </w:rPr>
            </w:pPr>
            <w:r w:rsidRPr="00F24F2D">
              <w:rPr>
                <w:sz w:val="20"/>
                <w:szCs w:val="20"/>
              </w:rPr>
              <w:t>Action</w:t>
            </w:r>
          </w:p>
        </w:tc>
        <w:tc>
          <w:tcPr>
            <w:tcW w:w="12437" w:type="dxa"/>
            <w:shd w:val="clear" w:color="auto" w:fill="B8CCE4" w:themeFill="accent1" w:themeFillTint="66"/>
          </w:tcPr>
          <w:p w14:paraId="68429571" w14:textId="302D0829" w:rsidR="005A4947" w:rsidRPr="00F24F2D" w:rsidRDefault="005A4947" w:rsidP="0004731E">
            <w:pPr>
              <w:rPr>
                <w:sz w:val="20"/>
                <w:szCs w:val="20"/>
              </w:rPr>
            </w:pPr>
            <w:r w:rsidRPr="00F24F2D">
              <w:rPr>
                <w:sz w:val="20"/>
                <w:szCs w:val="20"/>
              </w:rPr>
              <w:t>Intended outcome</w:t>
            </w:r>
          </w:p>
        </w:tc>
      </w:tr>
      <w:tr w:rsidR="005A4947" w:rsidRPr="00F24F2D" w14:paraId="011E750F" w14:textId="77777777" w:rsidTr="00EE1A23">
        <w:tc>
          <w:tcPr>
            <w:tcW w:w="2689" w:type="dxa"/>
          </w:tcPr>
          <w:p w14:paraId="11882F87" w14:textId="3D728690" w:rsidR="005A4947" w:rsidRPr="00F24F2D" w:rsidRDefault="005A4947" w:rsidP="0004731E">
            <w:pPr>
              <w:rPr>
                <w:sz w:val="20"/>
                <w:szCs w:val="20"/>
              </w:rPr>
            </w:pPr>
            <w:r w:rsidRPr="00F24F2D">
              <w:rPr>
                <w:sz w:val="20"/>
                <w:szCs w:val="20"/>
              </w:rPr>
              <w:t>Whole school ethos of attainment for all</w:t>
            </w:r>
          </w:p>
        </w:tc>
        <w:tc>
          <w:tcPr>
            <w:tcW w:w="12437" w:type="dxa"/>
          </w:tcPr>
          <w:p w14:paraId="57A041F0" w14:textId="77777777" w:rsidR="005A4947" w:rsidRPr="001F1F8F" w:rsidRDefault="005A4947" w:rsidP="0032149E">
            <w:pPr>
              <w:pStyle w:val="ListParagraph"/>
              <w:numPr>
                <w:ilvl w:val="0"/>
                <w:numId w:val="12"/>
              </w:numPr>
              <w:rPr>
                <w:sz w:val="20"/>
                <w:szCs w:val="20"/>
              </w:rPr>
            </w:pPr>
            <w:r w:rsidRPr="001F1F8F">
              <w:rPr>
                <w:sz w:val="20"/>
                <w:szCs w:val="20"/>
              </w:rPr>
              <w:t>Improvement in teaching</w:t>
            </w:r>
            <w:r>
              <w:rPr>
                <w:sz w:val="20"/>
                <w:szCs w:val="20"/>
              </w:rPr>
              <w:t xml:space="preserve"> key skills in the curriculum </w:t>
            </w:r>
            <w:r w:rsidRPr="001F1F8F">
              <w:rPr>
                <w:sz w:val="20"/>
                <w:szCs w:val="20"/>
              </w:rPr>
              <w:t>to enhance attainment and progress.</w:t>
            </w:r>
          </w:p>
          <w:p w14:paraId="3A0E8BEC" w14:textId="77777777" w:rsidR="005A4947" w:rsidRDefault="005A4947" w:rsidP="0032149E">
            <w:pPr>
              <w:pStyle w:val="ListParagraph"/>
              <w:numPr>
                <w:ilvl w:val="0"/>
                <w:numId w:val="12"/>
              </w:numPr>
              <w:rPr>
                <w:sz w:val="20"/>
                <w:szCs w:val="20"/>
              </w:rPr>
            </w:pPr>
            <w:r>
              <w:rPr>
                <w:sz w:val="20"/>
                <w:szCs w:val="20"/>
              </w:rPr>
              <w:t xml:space="preserve">Provide greater opportunities for </w:t>
            </w:r>
            <w:r w:rsidRPr="001F1F8F">
              <w:rPr>
                <w:sz w:val="20"/>
                <w:szCs w:val="20"/>
              </w:rPr>
              <w:t>challenge</w:t>
            </w:r>
            <w:r>
              <w:rPr>
                <w:sz w:val="20"/>
                <w:szCs w:val="20"/>
              </w:rPr>
              <w:t xml:space="preserve"> in children’s learning</w:t>
            </w:r>
            <w:r w:rsidRPr="001F1F8F">
              <w:rPr>
                <w:sz w:val="20"/>
                <w:szCs w:val="20"/>
              </w:rPr>
              <w:t xml:space="preserve"> </w:t>
            </w:r>
          </w:p>
          <w:p w14:paraId="6F9F937A" w14:textId="77777777" w:rsidR="00202096" w:rsidRDefault="005A4947" w:rsidP="0004731E">
            <w:pPr>
              <w:pStyle w:val="ListParagraph"/>
              <w:numPr>
                <w:ilvl w:val="0"/>
                <w:numId w:val="12"/>
              </w:numPr>
              <w:rPr>
                <w:sz w:val="20"/>
                <w:szCs w:val="20"/>
              </w:rPr>
            </w:pPr>
            <w:r w:rsidRPr="001F1F8F">
              <w:rPr>
                <w:sz w:val="20"/>
                <w:szCs w:val="20"/>
              </w:rPr>
              <w:t>Delivery of high quality, quality first teaching CPD.</w:t>
            </w:r>
          </w:p>
          <w:p w14:paraId="46854114" w14:textId="4F5E4C3D" w:rsidR="005A4947" w:rsidRPr="00202096" w:rsidRDefault="005A4947" w:rsidP="0004731E">
            <w:pPr>
              <w:pStyle w:val="ListParagraph"/>
              <w:numPr>
                <w:ilvl w:val="0"/>
                <w:numId w:val="12"/>
              </w:numPr>
              <w:rPr>
                <w:sz w:val="20"/>
                <w:szCs w:val="20"/>
              </w:rPr>
            </w:pPr>
            <w:r w:rsidRPr="00202096">
              <w:rPr>
                <w:sz w:val="20"/>
                <w:szCs w:val="20"/>
              </w:rPr>
              <w:t>Enhanced pedagogical understanding</w:t>
            </w:r>
          </w:p>
        </w:tc>
      </w:tr>
      <w:tr w:rsidR="005A4947" w:rsidRPr="00F24F2D" w14:paraId="2FC5E0E7" w14:textId="77777777" w:rsidTr="000E1AAA">
        <w:tc>
          <w:tcPr>
            <w:tcW w:w="2689" w:type="dxa"/>
          </w:tcPr>
          <w:p w14:paraId="087D7D4B" w14:textId="61D18E86" w:rsidR="005A4947" w:rsidRPr="00F24F2D" w:rsidRDefault="005A4947" w:rsidP="0004731E">
            <w:pPr>
              <w:rPr>
                <w:sz w:val="20"/>
                <w:szCs w:val="20"/>
              </w:rPr>
            </w:pPr>
            <w:r w:rsidRPr="00F24F2D">
              <w:rPr>
                <w:sz w:val="20"/>
                <w:szCs w:val="20"/>
              </w:rPr>
              <w:t>Quality first teaching for all – a focus teaching for specific children before additional strategies</w:t>
            </w:r>
          </w:p>
        </w:tc>
        <w:tc>
          <w:tcPr>
            <w:tcW w:w="12437" w:type="dxa"/>
          </w:tcPr>
          <w:p w14:paraId="2D301959" w14:textId="77777777" w:rsidR="005A4947" w:rsidRPr="00977B77" w:rsidRDefault="005A4947" w:rsidP="0032149E">
            <w:pPr>
              <w:pStyle w:val="ListParagraph"/>
              <w:numPr>
                <w:ilvl w:val="0"/>
                <w:numId w:val="13"/>
              </w:numPr>
              <w:rPr>
                <w:sz w:val="20"/>
                <w:szCs w:val="20"/>
              </w:rPr>
            </w:pPr>
            <w:r>
              <w:rPr>
                <w:sz w:val="20"/>
                <w:szCs w:val="20"/>
              </w:rPr>
              <w:t>Subject knowledge of teachers is good.</w:t>
            </w:r>
          </w:p>
          <w:p w14:paraId="294949BE" w14:textId="3664187D" w:rsidR="005A4947" w:rsidRPr="001F1F8F" w:rsidRDefault="005A4947" w:rsidP="0032149E">
            <w:pPr>
              <w:pStyle w:val="ListParagraph"/>
              <w:numPr>
                <w:ilvl w:val="0"/>
                <w:numId w:val="13"/>
              </w:numPr>
              <w:rPr>
                <w:sz w:val="20"/>
                <w:szCs w:val="20"/>
              </w:rPr>
            </w:pPr>
            <w:r w:rsidRPr="001F1F8F">
              <w:rPr>
                <w:sz w:val="20"/>
                <w:szCs w:val="20"/>
              </w:rPr>
              <w:t xml:space="preserve">Providing </w:t>
            </w:r>
            <w:r w:rsidR="00202096" w:rsidRPr="001F1F8F">
              <w:rPr>
                <w:sz w:val="20"/>
                <w:szCs w:val="20"/>
              </w:rPr>
              <w:t xml:space="preserve">resources </w:t>
            </w:r>
            <w:r w:rsidR="00202096">
              <w:rPr>
                <w:sz w:val="20"/>
                <w:szCs w:val="20"/>
              </w:rPr>
              <w:t>and</w:t>
            </w:r>
            <w:r>
              <w:rPr>
                <w:sz w:val="20"/>
                <w:szCs w:val="20"/>
              </w:rPr>
              <w:t xml:space="preserve"> additional CPD </w:t>
            </w:r>
            <w:r w:rsidRPr="001F1F8F">
              <w:rPr>
                <w:sz w:val="20"/>
                <w:szCs w:val="20"/>
              </w:rPr>
              <w:t>to support QFT which will impact upon the attainment and progress of all groups of children</w:t>
            </w:r>
          </w:p>
          <w:p w14:paraId="7B9ED2C4" w14:textId="77777777" w:rsidR="005A4947" w:rsidRPr="001F1F8F" w:rsidRDefault="005A4947" w:rsidP="0032149E">
            <w:pPr>
              <w:pStyle w:val="ListParagraph"/>
              <w:numPr>
                <w:ilvl w:val="0"/>
                <w:numId w:val="13"/>
              </w:numPr>
              <w:rPr>
                <w:sz w:val="20"/>
                <w:szCs w:val="20"/>
              </w:rPr>
            </w:pPr>
            <w:r w:rsidRPr="001F1F8F">
              <w:rPr>
                <w:sz w:val="20"/>
                <w:szCs w:val="20"/>
              </w:rPr>
              <w:t xml:space="preserve">Providing high quality CPD </w:t>
            </w:r>
            <w:r>
              <w:rPr>
                <w:sz w:val="20"/>
                <w:szCs w:val="20"/>
              </w:rPr>
              <w:t>from the MAT and across the borough to support QFT</w:t>
            </w:r>
          </w:p>
          <w:p w14:paraId="170893C1" w14:textId="06DDF982" w:rsidR="005A4947" w:rsidRPr="001F1F8F" w:rsidRDefault="005A4947" w:rsidP="0032149E">
            <w:pPr>
              <w:pStyle w:val="ListParagraph"/>
              <w:numPr>
                <w:ilvl w:val="0"/>
                <w:numId w:val="13"/>
              </w:numPr>
              <w:rPr>
                <w:sz w:val="20"/>
                <w:szCs w:val="20"/>
              </w:rPr>
            </w:pPr>
            <w:r>
              <w:rPr>
                <w:sz w:val="20"/>
                <w:szCs w:val="20"/>
              </w:rPr>
              <w:t xml:space="preserve">Regular </w:t>
            </w:r>
            <w:r w:rsidR="00202096">
              <w:rPr>
                <w:sz w:val="20"/>
                <w:szCs w:val="20"/>
              </w:rPr>
              <w:t>h</w:t>
            </w:r>
            <w:r w:rsidR="00202096" w:rsidRPr="001F1F8F">
              <w:rPr>
                <w:sz w:val="20"/>
                <w:szCs w:val="20"/>
              </w:rPr>
              <w:t>igh-quality</w:t>
            </w:r>
            <w:r w:rsidRPr="001F1F8F">
              <w:rPr>
                <w:sz w:val="20"/>
                <w:szCs w:val="20"/>
              </w:rPr>
              <w:t xml:space="preserve"> </w:t>
            </w:r>
            <w:r w:rsidR="00202096" w:rsidRPr="001F1F8F">
              <w:rPr>
                <w:sz w:val="20"/>
                <w:szCs w:val="20"/>
              </w:rPr>
              <w:t xml:space="preserve">feedback </w:t>
            </w:r>
            <w:r w:rsidR="00202096">
              <w:rPr>
                <w:sz w:val="20"/>
                <w:szCs w:val="20"/>
              </w:rPr>
              <w:t>(</w:t>
            </w:r>
            <w:r>
              <w:rPr>
                <w:sz w:val="20"/>
                <w:szCs w:val="20"/>
              </w:rPr>
              <w:t xml:space="preserve">verbal and written) </w:t>
            </w:r>
            <w:r w:rsidRPr="001F1F8F">
              <w:rPr>
                <w:sz w:val="20"/>
                <w:szCs w:val="20"/>
              </w:rPr>
              <w:t xml:space="preserve">for pupil premium pupils </w:t>
            </w:r>
          </w:p>
          <w:p w14:paraId="3F1911FA" w14:textId="77777777" w:rsidR="005A4947" w:rsidRDefault="005A4947" w:rsidP="0032149E">
            <w:pPr>
              <w:pStyle w:val="ListParagraph"/>
              <w:numPr>
                <w:ilvl w:val="0"/>
                <w:numId w:val="13"/>
              </w:numPr>
              <w:rPr>
                <w:sz w:val="20"/>
                <w:szCs w:val="20"/>
              </w:rPr>
            </w:pPr>
            <w:r w:rsidRPr="001F1F8F">
              <w:rPr>
                <w:sz w:val="20"/>
                <w:szCs w:val="20"/>
              </w:rPr>
              <w:t xml:space="preserve">Interventions </w:t>
            </w:r>
            <w:r>
              <w:rPr>
                <w:sz w:val="20"/>
                <w:szCs w:val="20"/>
              </w:rPr>
              <w:t>that are specifically focused on narrowing the gaps in learning for pp children.</w:t>
            </w:r>
          </w:p>
          <w:p w14:paraId="10448598" w14:textId="51ECADA3" w:rsidR="005A4947" w:rsidRPr="005A4947" w:rsidRDefault="005A4947" w:rsidP="0004731E">
            <w:pPr>
              <w:pStyle w:val="ListParagraph"/>
              <w:numPr>
                <w:ilvl w:val="0"/>
                <w:numId w:val="13"/>
              </w:numPr>
              <w:rPr>
                <w:sz w:val="20"/>
                <w:szCs w:val="20"/>
              </w:rPr>
            </w:pPr>
            <w:r>
              <w:rPr>
                <w:sz w:val="20"/>
                <w:szCs w:val="20"/>
              </w:rPr>
              <w:t xml:space="preserve">Collaborative learning approaches that promote talk and interaction between learners in class, during group work, across year groups </w:t>
            </w:r>
          </w:p>
        </w:tc>
      </w:tr>
      <w:tr w:rsidR="00F24F2D" w:rsidRPr="00F24F2D" w14:paraId="470EF857" w14:textId="77777777" w:rsidTr="0032149E">
        <w:tc>
          <w:tcPr>
            <w:tcW w:w="15126" w:type="dxa"/>
            <w:gridSpan w:val="2"/>
            <w:shd w:val="clear" w:color="auto" w:fill="00B0F0"/>
          </w:tcPr>
          <w:p w14:paraId="07183752" w14:textId="40B078AB" w:rsidR="00F24F2D" w:rsidRPr="00D479AF" w:rsidRDefault="00D479AF" w:rsidP="00D479AF">
            <w:pPr>
              <w:pStyle w:val="ListParagraph"/>
              <w:numPr>
                <w:ilvl w:val="0"/>
                <w:numId w:val="18"/>
              </w:numPr>
              <w:rPr>
                <w:sz w:val="20"/>
                <w:szCs w:val="20"/>
              </w:rPr>
            </w:pPr>
            <w:r w:rsidRPr="00D479AF">
              <w:rPr>
                <w:sz w:val="20"/>
                <w:szCs w:val="20"/>
              </w:rPr>
              <w:t>T</w:t>
            </w:r>
            <w:r w:rsidR="00F24F2D" w:rsidRPr="00D479AF">
              <w:rPr>
                <w:sz w:val="20"/>
                <w:szCs w:val="20"/>
              </w:rPr>
              <w:t>argeted Support</w:t>
            </w:r>
          </w:p>
        </w:tc>
      </w:tr>
      <w:tr w:rsidR="005A4947" w:rsidRPr="00F24F2D" w14:paraId="6C69470A" w14:textId="77777777" w:rsidTr="00E8799D">
        <w:tc>
          <w:tcPr>
            <w:tcW w:w="2689" w:type="dxa"/>
            <w:shd w:val="clear" w:color="auto" w:fill="C6D9F1" w:themeFill="text2" w:themeFillTint="33"/>
          </w:tcPr>
          <w:p w14:paraId="2459FA3F" w14:textId="1698501D" w:rsidR="005A4947" w:rsidRPr="00F24F2D" w:rsidRDefault="005A4947" w:rsidP="00F24F2D">
            <w:pPr>
              <w:rPr>
                <w:sz w:val="20"/>
                <w:szCs w:val="20"/>
              </w:rPr>
            </w:pPr>
            <w:r w:rsidRPr="00F24F2D">
              <w:rPr>
                <w:sz w:val="20"/>
                <w:szCs w:val="20"/>
              </w:rPr>
              <w:t>Action</w:t>
            </w:r>
          </w:p>
        </w:tc>
        <w:tc>
          <w:tcPr>
            <w:tcW w:w="12437" w:type="dxa"/>
            <w:shd w:val="clear" w:color="auto" w:fill="C6D9F1" w:themeFill="text2" w:themeFillTint="33"/>
          </w:tcPr>
          <w:p w14:paraId="6F27FEDD" w14:textId="601F3D4B" w:rsidR="005A4947" w:rsidRPr="00F24F2D" w:rsidRDefault="005A4947" w:rsidP="00F24F2D">
            <w:pPr>
              <w:rPr>
                <w:sz w:val="20"/>
                <w:szCs w:val="20"/>
              </w:rPr>
            </w:pPr>
            <w:r w:rsidRPr="00F24F2D">
              <w:rPr>
                <w:sz w:val="20"/>
                <w:szCs w:val="20"/>
              </w:rPr>
              <w:t>Intended outcome</w:t>
            </w:r>
          </w:p>
        </w:tc>
      </w:tr>
      <w:tr w:rsidR="006648EC" w:rsidRPr="00F24F2D" w14:paraId="7841C163" w14:textId="77777777" w:rsidTr="00AB663D">
        <w:tc>
          <w:tcPr>
            <w:tcW w:w="2689" w:type="dxa"/>
          </w:tcPr>
          <w:p w14:paraId="479D1C8A" w14:textId="60E4ABB5" w:rsidR="006648EC" w:rsidRPr="00F24F2D" w:rsidRDefault="006648EC" w:rsidP="0004731E">
            <w:pPr>
              <w:rPr>
                <w:sz w:val="20"/>
                <w:szCs w:val="20"/>
              </w:rPr>
            </w:pPr>
            <w:r>
              <w:rPr>
                <w:sz w:val="20"/>
                <w:szCs w:val="20"/>
              </w:rPr>
              <w:t>Meeting individual learning needs</w:t>
            </w:r>
          </w:p>
        </w:tc>
        <w:tc>
          <w:tcPr>
            <w:tcW w:w="12437" w:type="dxa"/>
          </w:tcPr>
          <w:p w14:paraId="0EB866DF" w14:textId="77777777" w:rsidR="006648EC" w:rsidRDefault="006648EC" w:rsidP="0032149E">
            <w:pPr>
              <w:pStyle w:val="ListParagraph"/>
              <w:numPr>
                <w:ilvl w:val="0"/>
                <w:numId w:val="12"/>
              </w:numPr>
              <w:rPr>
                <w:sz w:val="20"/>
                <w:szCs w:val="20"/>
              </w:rPr>
            </w:pPr>
            <w:r>
              <w:rPr>
                <w:sz w:val="20"/>
                <w:szCs w:val="20"/>
              </w:rPr>
              <w:t>Booster and intervention to ensure academic attainment and progress</w:t>
            </w:r>
          </w:p>
          <w:p w14:paraId="534F3A59" w14:textId="77777777" w:rsidR="006648EC" w:rsidRDefault="006648EC" w:rsidP="0032149E">
            <w:pPr>
              <w:pStyle w:val="ListParagraph"/>
              <w:numPr>
                <w:ilvl w:val="0"/>
                <w:numId w:val="12"/>
              </w:numPr>
              <w:rPr>
                <w:sz w:val="20"/>
                <w:szCs w:val="20"/>
              </w:rPr>
            </w:pPr>
            <w:r>
              <w:rPr>
                <w:sz w:val="20"/>
                <w:szCs w:val="20"/>
              </w:rPr>
              <w:t>Narrowing the gap in core subjects between pupil premium and non-premium children</w:t>
            </w:r>
          </w:p>
          <w:p w14:paraId="217E5129" w14:textId="77777777" w:rsidR="006648EC" w:rsidRDefault="006648EC" w:rsidP="0032149E">
            <w:pPr>
              <w:pStyle w:val="ListParagraph"/>
              <w:numPr>
                <w:ilvl w:val="0"/>
                <w:numId w:val="12"/>
              </w:numPr>
              <w:rPr>
                <w:sz w:val="20"/>
                <w:szCs w:val="20"/>
              </w:rPr>
            </w:pPr>
            <w:r>
              <w:rPr>
                <w:sz w:val="20"/>
                <w:szCs w:val="20"/>
              </w:rPr>
              <w:t>High-quality intervention offered by qualified teachers</w:t>
            </w:r>
          </w:p>
          <w:p w14:paraId="05FC49CB" w14:textId="77777777" w:rsidR="006648EC" w:rsidRPr="0092691E" w:rsidRDefault="006648EC" w:rsidP="0032149E">
            <w:pPr>
              <w:rPr>
                <w:sz w:val="20"/>
                <w:szCs w:val="20"/>
              </w:rPr>
            </w:pPr>
            <w:r w:rsidRPr="0092691E">
              <w:rPr>
                <w:sz w:val="20"/>
                <w:szCs w:val="20"/>
              </w:rPr>
              <w:t>SEMH – well being</w:t>
            </w:r>
          </w:p>
          <w:p w14:paraId="3AA7B78E" w14:textId="77777777" w:rsidR="006648EC" w:rsidRDefault="006648EC" w:rsidP="0032149E">
            <w:pPr>
              <w:pStyle w:val="ListParagraph"/>
              <w:numPr>
                <w:ilvl w:val="0"/>
                <w:numId w:val="6"/>
              </w:numPr>
              <w:rPr>
                <w:sz w:val="20"/>
                <w:szCs w:val="20"/>
              </w:rPr>
            </w:pPr>
            <w:r>
              <w:rPr>
                <w:sz w:val="20"/>
                <w:szCs w:val="20"/>
              </w:rPr>
              <w:t>Play therapy</w:t>
            </w:r>
          </w:p>
          <w:p w14:paraId="4F398F03" w14:textId="77777777" w:rsidR="006648EC" w:rsidRDefault="006648EC" w:rsidP="0032149E">
            <w:pPr>
              <w:pStyle w:val="ListParagraph"/>
              <w:numPr>
                <w:ilvl w:val="0"/>
                <w:numId w:val="6"/>
              </w:numPr>
              <w:rPr>
                <w:sz w:val="20"/>
                <w:szCs w:val="20"/>
              </w:rPr>
            </w:pPr>
            <w:r>
              <w:rPr>
                <w:sz w:val="20"/>
                <w:szCs w:val="20"/>
              </w:rPr>
              <w:t>PSHE taught by class teachers</w:t>
            </w:r>
          </w:p>
          <w:p w14:paraId="6E304A6B" w14:textId="77777777" w:rsidR="006648EC" w:rsidRDefault="006648EC" w:rsidP="0032149E">
            <w:pPr>
              <w:pStyle w:val="ListParagraph"/>
              <w:numPr>
                <w:ilvl w:val="0"/>
                <w:numId w:val="6"/>
              </w:numPr>
              <w:rPr>
                <w:sz w:val="20"/>
                <w:szCs w:val="20"/>
                <w:lang w:val="fr-FR"/>
              </w:rPr>
            </w:pPr>
            <w:r w:rsidRPr="003D7DB8">
              <w:rPr>
                <w:sz w:val="20"/>
                <w:szCs w:val="20"/>
                <w:lang w:val="fr-FR"/>
              </w:rPr>
              <w:t>Social/</w:t>
            </w:r>
            <w:r w:rsidRPr="003D7DB8">
              <w:rPr>
                <w:sz w:val="20"/>
                <w:szCs w:val="20"/>
              </w:rPr>
              <w:t>nurture</w:t>
            </w:r>
            <w:r w:rsidRPr="003D7DB8">
              <w:rPr>
                <w:sz w:val="20"/>
                <w:szCs w:val="20"/>
                <w:lang w:val="fr-FR"/>
              </w:rPr>
              <w:t xml:space="preserve"> groups – Relax </w:t>
            </w:r>
            <w:proofErr w:type="spellStart"/>
            <w:r w:rsidRPr="003D7DB8">
              <w:rPr>
                <w:sz w:val="20"/>
                <w:szCs w:val="20"/>
                <w:lang w:val="fr-FR"/>
              </w:rPr>
              <w:t>K</w:t>
            </w:r>
            <w:r>
              <w:rPr>
                <w:sz w:val="20"/>
                <w:szCs w:val="20"/>
                <w:lang w:val="fr-FR"/>
              </w:rPr>
              <w:t>idz</w:t>
            </w:r>
            <w:proofErr w:type="spellEnd"/>
          </w:p>
          <w:p w14:paraId="4DA3CD07" w14:textId="77777777" w:rsidR="006648EC" w:rsidRPr="003D7DB8" w:rsidRDefault="006648EC" w:rsidP="0032149E">
            <w:pPr>
              <w:pStyle w:val="ListParagraph"/>
              <w:numPr>
                <w:ilvl w:val="0"/>
                <w:numId w:val="6"/>
              </w:numPr>
              <w:rPr>
                <w:sz w:val="20"/>
                <w:szCs w:val="20"/>
              </w:rPr>
            </w:pPr>
            <w:r w:rsidRPr="003D7DB8">
              <w:rPr>
                <w:sz w:val="20"/>
                <w:szCs w:val="20"/>
              </w:rPr>
              <w:t xml:space="preserve">A lunch-time club for vulnerable children </w:t>
            </w:r>
            <w:r>
              <w:rPr>
                <w:sz w:val="20"/>
                <w:szCs w:val="20"/>
              </w:rPr>
              <w:t>twice a week</w:t>
            </w:r>
          </w:p>
          <w:p w14:paraId="1FFD5D96" w14:textId="77777777" w:rsidR="006648EC" w:rsidRDefault="006648EC" w:rsidP="0032149E">
            <w:pPr>
              <w:rPr>
                <w:sz w:val="20"/>
                <w:szCs w:val="20"/>
              </w:rPr>
            </w:pPr>
            <w:r>
              <w:rPr>
                <w:sz w:val="20"/>
                <w:szCs w:val="20"/>
              </w:rPr>
              <w:t>Learning</w:t>
            </w:r>
          </w:p>
          <w:p w14:paraId="55FC0760" w14:textId="77777777" w:rsidR="006648EC" w:rsidRDefault="006648EC" w:rsidP="0032149E">
            <w:pPr>
              <w:pStyle w:val="ListParagraph"/>
              <w:numPr>
                <w:ilvl w:val="0"/>
                <w:numId w:val="28"/>
              </w:numPr>
              <w:rPr>
                <w:sz w:val="20"/>
                <w:szCs w:val="20"/>
              </w:rPr>
            </w:pPr>
            <w:r>
              <w:rPr>
                <w:sz w:val="20"/>
                <w:szCs w:val="20"/>
              </w:rPr>
              <w:t>Lift off to Language</w:t>
            </w:r>
          </w:p>
          <w:p w14:paraId="40B3DD72" w14:textId="77777777" w:rsidR="006648EC" w:rsidRDefault="006648EC" w:rsidP="0032149E">
            <w:pPr>
              <w:pStyle w:val="ListParagraph"/>
              <w:numPr>
                <w:ilvl w:val="0"/>
                <w:numId w:val="28"/>
              </w:numPr>
              <w:rPr>
                <w:sz w:val="20"/>
                <w:szCs w:val="20"/>
              </w:rPr>
            </w:pPr>
            <w:r>
              <w:rPr>
                <w:sz w:val="20"/>
                <w:szCs w:val="20"/>
              </w:rPr>
              <w:t>Sign language to continue to be taught across the school</w:t>
            </w:r>
          </w:p>
          <w:p w14:paraId="4F4323A6" w14:textId="77777777" w:rsidR="006648EC" w:rsidRDefault="006648EC" w:rsidP="0032149E">
            <w:pPr>
              <w:pStyle w:val="ListParagraph"/>
              <w:numPr>
                <w:ilvl w:val="0"/>
                <w:numId w:val="28"/>
              </w:numPr>
              <w:rPr>
                <w:sz w:val="20"/>
                <w:szCs w:val="20"/>
              </w:rPr>
            </w:pPr>
            <w:r>
              <w:rPr>
                <w:sz w:val="20"/>
                <w:szCs w:val="20"/>
              </w:rPr>
              <w:t>Appropriate staff to be trained using the BSL</w:t>
            </w:r>
          </w:p>
          <w:p w14:paraId="5DBB6AD9" w14:textId="77777777" w:rsidR="006648EC" w:rsidRDefault="006648EC" w:rsidP="0032149E">
            <w:pPr>
              <w:pStyle w:val="ListParagraph"/>
              <w:numPr>
                <w:ilvl w:val="0"/>
                <w:numId w:val="28"/>
              </w:numPr>
              <w:rPr>
                <w:sz w:val="20"/>
                <w:szCs w:val="20"/>
              </w:rPr>
            </w:pPr>
            <w:r>
              <w:rPr>
                <w:sz w:val="20"/>
                <w:szCs w:val="20"/>
              </w:rPr>
              <w:t>Intervention on handwriting and spelling</w:t>
            </w:r>
          </w:p>
          <w:p w14:paraId="79FEF4F9" w14:textId="77777777" w:rsidR="006648EC" w:rsidRDefault="006648EC" w:rsidP="0032149E">
            <w:pPr>
              <w:pStyle w:val="ListParagraph"/>
              <w:numPr>
                <w:ilvl w:val="0"/>
                <w:numId w:val="28"/>
              </w:numPr>
              <w:rPr>
                <w:sz w:val="20"/>
                <w:szCs w:val="20"/>
              </w:rPr>
            </w:pPr>
            <w:r>
              <w:rPr>
                <w:sz w:val="20"/>
                <w:szCs w:val="20"/>
              </w:rPr>
              <w:t>Additional phonics intervention</w:t>
            </w:r>
          </w:p>
          <w:p w14:paraId="4508F51C" w14:textId="77777777" w:rsidR="006648EC" w:rsidRDefault="006648EC" w:rsidP="0032149E">
            <w:pPr>
              <w:pStyle w:val="ListParagraph"/>
              <w:numPr>
                <w:ilvl w:val="0"/>
                <w:numId w:val="28"/>
              </w:numPr>
              <w:rPr>
                <w:sz w:val="20"/>
                <w:szCs w:val="20"/>
              </w:rPr>
            </w:pPr>
            <w:r>
              <w:rPr>
                <w:sz w:val="20"/>
                <w:szCs w:val="20"/>
              </w:rPr>
              <w:t>Reading interventions</w:t>
            </w:r>
          </w:p>
          <w:p w14:paraId="03B0085F" w14:textId="7B4A7F7E" w:rsidR="006648EC" w:rsidRDefault="00202096" w:rsidP="0032149E">
            <w:pPr>
              <w:pStyle w:val="ListParagraph"/>
              <w:numPr>
                <w:ilvl w:val="0"/>
                <w:numId w:val="28"/>
              </w:numPr>
              <w:rPr>
                <w:sz w:val="20"/>
                <w:szCs w:val="20"/>
              </w:rPr>
            </w:pPr>
            <w:r>
              <w:rPr>
                <w:sz w:val="20"/>
                <w:szCs w:val="20"/>
              </w:rPr>
              <w:t>Pre-learning</w:t>
            </w:r>
            <w:r w:rsidR="006648EC">
              <w:rPr>
                <w:sz w:val="20"/>
                <w:szCs w:val="20"/>
              </w:rPr>
              <w:t xml:space="preserve"> in key curriculum areas</w:t>
            </w:r>
          </w:p>
          <w:p w14:paraId="133DC5C8" w14:textId="77777777" w:rsidR="006648EC" w:rsidRDefault="006648EC" w:rsidP="0032149E">
            <w:pPr>
              <w:pStyle w:val="ListParagraph"/>
              <w:numPr>
                <w:ilvl w:val="0"/>
                <w:numId w:val="28"/>
              </w:numPr>
              <w:rPr>
                <w:sz w:val="20"/>
                <w:szCs w:val="20"/>
              </w:rPr>
            </w:pPr>
            <w:r>
              <w:rPr>
                <w:sz w:val="20"/>
                <w:szCs w:val="20"/>
              </w:rPr>
              <w:t>Enrichment Fridays continue to provide further engagement of the curriculum</w:t>
            </w:r>
          </w:p>
          <w:p w14:paraId="43D95602" w14:textId="77777777" w:rsidR="006648EC" w:rsidRPr="003D7DB8" w:rsidRDefault="006648EC" w:rsidP="0032149E">
            <w:pPr>
              <w:pStyle w:val="ListParagraph"/>
              <w:numPr>
                <w:ilvl w:val="0"/>
                <w:numId w:val="28"/>
              </w:numPr>
              <w:rPr>
                <w:sz w:val="20"/>
                <w:szCs w:val="20"/>
              </w:rPr>
            </w:pPr>
            <w:r>
              <w:rPr>
                <w:sz w:val="20"/>
                <w:szCs w:val="20"/>
              </w:rPr>
              <w:t>Greater number of after school clubs provided for children</w:t>
            </w:r>
          </w:p>
          <w:p w14:paraId="4736FA45" w14:textId="77777777" w:rsidR="006648EC" w:rsidRDefault="006648EC" w:rsidP="0032149E">
            <w:pPr>
              <w:rPr>
                <w:sz w:val="20"/>
                <w:szCs w:val="20"/>
              </w:rPr>
            </w:pPr>
            <w:r>
              <w:rPr>
                <w:sz w:val="20"/>
                <w:szCs w:val="20"/>
              </w:rPr>
              <w:t>Financial</w:t>
            </w:r>
          </w:p>
          <w:p w14:paraId="232C0096" w14:textId="77777777" w:rsidR="006648EC" w:rsidRPr="003D7DB8" w:rsidRDefault="006648EC" w:rsidP="0032149E">
            <w:pPr>
              <w:pStyle w:val="ListParagraph"/>
              <w:numPr>
                <w:ilvl w:val="0"/>
                <w:numId w:val="29"/>
              </w:numPr>
              <w:rPr>
                <w:sz w:val="20"/>
                <w:szCs w:val="20"/>
              </w:rPr>
            </w:pPr>
            <w:r>
              <w:rPr>
                <w:sz w:val="20"/>
                <w:szCs w:val="20"/>
              </w:rPr>
              <w:t>Support for educational visits and residentials.</w:t>
            </w:r>
          </w:p>
          <w:p w14:paraId="24D7721E" w14:textId="77777777" w:rsidR="006648EC" w:rsidRPr="00F24F2D" w:rsidRDefault="006648EC" w:rsidP="0004731E">
            <w:pPr>
              <w:rPr>
                <w:sz w:val="20"/>
                <w:szCs w:val="20"/>
              </w:rPr>
            </w:pPr>
          </w:p>
        </w:tc>
      </w:tr>
      <w:tr w:rsidR="006648EC" w:rsidRPr="00F24F2D" w14:paraId="5AB8582D" w14:textId="77777777" w:rsidTr="00484FF3">
        <w:tc>
          <w:tcPr>
            <w:tcW w:w="2689" w:type="dxa"/>
          </w:tcPr>
          <w:p w14:paraId="793419EB" w14:textId="30205AEA" w:rsidR="006648EC" w:rsidRPr="00F24F2D" w:rsidRDefault="006648EC" w:rsidP="0004731E">
            <w:pPr>
              <w:rPr>
                <w:sz w:val="20"/>
                <w:szCs w:val="20"/>
              </w:rPr>
            </w:pPr>
            <w:r>
              <w:rPr>
                <w:sz w:val="20"/>
                <w:szCs w:val="20"/>
              </w:rPr>
              <w:lastRenderedPageBreak/>
              <w:t>Addressing behaviour and attendance</w:t>
            </w:r>
          </w:p>
        </w:tc>
        <w:tc>
          <w:tcPr>
            <w:tcW w:w="12437" w:type="dxa"/>
          </w:tcPr>
          <w:p w14:paraId="5C8AEBAF" w14:textId="77777777" w:rsidR="006648EC" w:rsidRDefault="006648EC" w:rsidP="0032149E">
            <w:pPr>
              <w:pStyle w:val="ListParagraph"/>
              <w:numPr>
                <w:ilvl w:val="0"/>
                <w:numId w:val="13"/>
              </w:numPr>
              <w:rPr>
                <w:rFonts w:cstheme="minorHAnsi"/>
                <w:sz w:val="20"/>
                <w:szCs w:val="20"/>
              </w:rPr>
            </w:pPr>
            <w:r>
              <w:rPr>
                <w:rFonts w:cstheme="minorHAnsi"/>
                <w:sz w:val="20"/>
                <w:szCs w:val="20"/>
              </w:rPr>
              <w:t>Behaviour expectations continue to be followed by staff and children.</w:t>
            </w:r>
          </w:p>
          <w:p w14:paraId="58808C1D" w14:textId="77777777" w:rsidR="006648EC" w:rsidRPr="003D7DB8" w:rsidRDefault="006648EC" w:rsidP="0032149E">
            <w:pPr>
              <w:pStyle w:val="ListParagraph"/>
              <w:numPr>
                <w:ilvl w:val="0"/>
                <w:numId w:val="13"/>
              </w:numPr>
              <w:rPr>
                <w:rFonts w:cstheme="minorHAnsi"/>
                <w:sz w:val="20"/>
                <w:szCs w:val="20"/>
              </w:rPr>
            </w:pPr>
            <w:r w:rsidRPr="000E33E5">
              <w:rPr>
                <w:rFonts w:cstheme="minorHAnsi"/>
                <w:sz w:val="20"/>
                <w:szCs w:val="20"/>
              </w:rPr>
              <w:t>Good and outstanding teaching and learning that makes pupils want to come to school.</w:t>
            </w:r>
          </w:p>
          <w:p w14:paraId="568C11D2" w14:textId="77777777" w:rsidR="006648EC" w:rsidRDefault="006648EC" w:rsidP="0032149E">
            <w:pPr>
              <w:pStyle w:val="ListParagraph"/>
              <w:numPr>
                <w:ilvl w:val="0"/>
                <w:numId w:val="13"/>
              </w:numPr>
              <w:rPr>
                <w:sz w:val="20"/>
                <w:szCs w:val="20"/>
              </w:rPr>
            </w:pPr>
            <w:r>
              <w:rPr>
                <w:sz w:val="20"/>
                <w:szCs w:val="20"/>
              </w:rPr>
              <w:t>Early intervention procedures in place when attendance falls.</w:t>
            </w:r>
          </w:p>
          <w:p w14:paraId="56948499" w14:textId="77777777" w:rsidR="006648EC" w:rsidRDefault="006648EC" w:rsidP="0032149E">
            <w:pPr>
              <w:pStyle w:val="ListParagraph"/>
              <w:numPr>
                <w:ilvl w:val="0"/>
                <w:numId w:val="13"/>
              </w:numPr>
              <w:rPr>
                <w:sz w:val="20"/>
                <w:szCs w:val="20"/>
              </w:rPr>
            </w:pPr>
            <w:r>
              <w:rPr>
                <w:sz w:val="20"/>
                <w:szCs w:val="20"/>
              </w:rPr>
              <w:t>Absence rate for PP children the same as non-PP children and better than the 2019 national average</w:t>
            </w:r>
          </w:p>
          <w:p w14:paraId="1AAFBD39" w14:textId="77777777" w:rsidR="006648EC" w:rsidRDefault="006648EC" w:rsidP="0032149E">
            <w:pPr>
              <w:pStyle w:val="ListParagraph"/>
              <w:numPr>
                <w:ilvl w:val="0"/>
                <w:numId w:val="13"/>
              </w:numPr>
              <w:rPr>
                <w:sz w:val="20"/>
                <w:szCs w:val="20"/>
              </w:rPr>
            </w:pPr>
            <w:r>
              <w:rPr>
                <w:sz w:val="20"/>
                <w:szCs w:val="20"/>
              </w:rPr>
              <w:t>Continue to celebrate attendance weekly and termly for classes and individual children</w:t>
            </w:r>
          </w:p>
          <w:p w14:paraId="719E232D" w14:textId="62FAECCD" w:rsidR="006648EC" w:rsidRPr="00F24F2D" w:rsidRDefault="006648EC" w:rsidP="0004731E">
            <w:pPr>
              <w:rPr>
                <w:sz w:val="20"/>
                <w:szCs w:val="20"/>
              </w:rPr>
            </w:pPr>
            <w:r>
              <w:rPr>
                <w:sz w:val="20"/>
                <w:szCs w:val="20"/>
              </w:rPr>
              <w:t>When known absences occur, learning outside of the classroom is to be shared with parents and carers</w:t>
            </w:r>
          </w:p>
        </w:tc>
      </w:tr>
      <w:tr w:rsidR="00F24F2D" w:rsidRPr="00F24F2D" w14:paraId="1C9B5ADF" w14:textId="77777777" w:rsidTr="0032149E">
        <w:tc>
          <w:tcPr>
            <w:tcW w:w="15126" w:type="dxa"/>
            <w:gridSpan w:val="2"/>
            <w:shd w:val="clear" w:color="auto" w:fill="00B0F0"/>
          </w:tcPr>
          <w:p w14:paraId="7A940BF3" w14:textId="7A18C636" w:rsidR="00F24F2D" w:rsidRPr="00D479AF" w:rsidRDefault="00D479AF" w:rsidP="00D479AF">
            <w:pPr>
              <w:pStyle w:val="ListParagraph"/>
              <w:numPr>
                <w:ilvl w:val="0"/>
                <w:numId w:val="18"/>
              </w:numPr>
              <w:rPr>
                <w:sz w:val="20"/>
                <w:szCs w:val="20"/>
              </w:rPr>
            </w:pPr>
            <w:r>
              <w:rPr>
                <w:sz w:val="20"/>
                <w:szCs w:val="20"/>
              </w:rPr>
              <w:t>Other approaches</w:t>
            </w:r>
          </w:p>
        </w:tc>
      </w:tr>
      <w:tr w:rsidR="006648EC" w:rsidRPr="00F24F2D" w14:paraId="551EBEA6" w14:textId="77777777" w:rsidTr="00CE61BB">
        <w:tc>
          <w:tcPr>
            <w:tcW w:w="2689" w:type="dxa"/>
            <w:shd w:val="clear" w:color="auto" w:fill="B8CCE4" w:themeFill="accent1" w:themeFillTint="66"/>
          </w:tcPr>
          <w:p w14:paraId="4CCCF2C0" w14:textId="3FD63CB8" w:rsidR="006648EC" w:rsidRPr="00F24F2D" w:rsidRDefault="006648EC" w:rsidP="00D479AF">
            <w:pPr>
              <w:rPr>
                <w:sz w:val="20"/>
                <w:szCs w:val="20"/>
              </w:rPr>
            </w:pPr>
            <w:r w:rsidRPr="00F24F2D">
              <w:rPr>
                <w:sz w:val="20"/>
                <w:szCs w:val="20"/>
              </w:rPr>
              <w:t>Action</w:t>
            </w:r>
          </w:p>
        </w:tc>
        <w:tc>
          <w:tcPr>
            <w:tcW w:w="12437" w:type="dxa"/>
            <w:shd w:val="clear" w:color="auto" w:fill="B8CCE4" w:themeFill="accent1" w:themeFillTint="66"/>
          </w:tcPr>
          <w:p w14:paraId="52D1C927" w14:textId="09C06929" w:rsidR="006648EC" w:rsidRPr="00F24F2D" w:rsidRDefault="006648EC" w:rsidP="00D479AF">
            <w:pPr>
              <w:rPr>
                <w:sz w:val="20"/>
                <w:szCs w:val="20"/>
              </w:rPr>
            </w:pPr>
            <w:r w:rsidRPr="00F24F2D">
              <w:rPr>
                <w:sz w:val="20"/>
                <w:szCs w:val="20"/>
              </w:rPr>
              <w:t>Intended outcome</w:t>
            </w:r>
          </w:p>
        </w:tc>
      </w:tr>
      <w:tr w:rsidR="006648EC" w:rsidRPr="00F24F2D" w14:paraId="3B5FEA3E" w14:textId="77777777" w:rsidTr="00C838AD">
        <w:tc>
          <w:tcPr>
            <w:tcW w:w="2689" w:type="dxa"/>
          </w:tcPr>
          <w:p w14:paraId="26D31733" w14:textId="6CE755C0" w:rsidR="006648EC" w:rsidRPr="00F24F2D" w:rsidRDefault="006648EC" w:rsidP="0004731E">
            <w:pPr>
              <w:rPr>
                <w:sz w:val="20"/>
                <w:szCs w:val="20"/>
              </w:rPr>
            </w:pPr>
            <w:r>
              <w:rPr>
                <w:sz w:val="20"/>
                <w:szCs w:val="20"/>
              </w:rPr>
              <w:t>Deploying staff effectively – developing skills and roles.</w:t>
            </w:r>
          </w:p>
        </w:tc>
        <w:tc>
          <w:tcPr>
            <w:tcW w:w="12437" w:type="dxa"/>
          </w:tcPr>
          <w:p w14:paraId="0854F960" w14:textId="77777777" w:rsidR="006648EC" w:rsidRPr="0032149E" w:rsidRDefault="006648EC" w:rsidP="0032149E">
            <w:pPr>
              <w:pStyle w:val="ListParagraph"/>
              <w:numPr>
                <w:ilvl w:val="0"/>
                <w:numId w:val="35"/>
              </w:numPr>
              <w:rPr>
                <w:sz w:val="20"/>
                <w:szCs w:val="20"/>
              </w:rPr>
            </w:pPr>
            <w:r w:rsidRPr="0032149E">
              <w:rPr>
                <w:sz w:val="20"/>
                <w:szCs w:val="20"/>
              </w:rPr>
              <w:t xml:space="preserve">TA’s in a better position to effectively meet the needs of key children </w:t>
            </w:r>
          </w:p>
          <w:p w14:paraId="40CFB452" w14:textId="77777777" w:rsidR="008578E1" w:rsidRDefault="006648EC" w:rsidP="0004731E">
            <w:pPr>
              <w:pStyle w:val="ListParagraph"/>
              <w:numPr>
                <w:ilvl w:val="0"/>
                <w:numId w:val="35"/>
              </w:numPr>
              <w:rPr>
                <w:sz w:val="20"/>
                <w:szCs w:val="20"/>
              </w:rPr>
            </w:pPr>
            <w:r w:rsidRPr="0032149E">
              <w:rPr>
                <w:sz w:val="20"/>
                <w:szCs w:val="20"/>
              </w:rPr>
              <w:t>Over time the gap is narrowed between PP and non-pp children</w:t>
            </w:r>
          </w:p>
          <w:p w14:paraId="26E50790" w14:textId="3E4D9165" w:rsidR="006648EC" w:rsidRPr="008578E1" w:rsidRDefault="006648EC" w:rsidP="0004731E">
            <w:pPr>
              <w:pStyle w:val="ListParagraph"/>
              <w:numPr>
                <w:ilvl w:val="0"/>
                <w:numId w:val="35"/>
              </w:numPr>
              <w:rPr>
                <w:sz w:val="20"/>
                <w:szCs w:val="20"/>
              </w:rPr>
            </w:pPr>
            <w:r w:rsidRPr="008578E1">
              <w:rPr>
                <w:sz w:val="20"/>
                <w:szCs w:val="20"/>
              </w:rPr>
              <w:t>Staff being more confident in delivering a curriculum that is exciting and engaging for children</w:t>
            </w:r>
          </w:p>
        </w:tc>
      </w:tr>
    </w:tbl>
    <w:tbl>
      <w:tblPr>
        <w:tblStyle w:val="TableGrid1"/>
        <w:tblW w:w="0" w:type="auto"/>
        <w:jc w:val="right"/>
        <w:tblLook w:val="04A0" w:firstRow="1" w:lastRow="0" w:firstColumn="1" w:lastColumn="0" w:noHBand="0" w:noVBand="1"/>
      </w:tblPr>
      <w:tblGrid>
        <w:gridCol w:w="2689"/>
        <w:gridCol w:w="1984"/>
      </w:tblGrid>
      <w:tr w:rsidR="005A6B9B" w14:paraId="0761FDEA" w14:textId="77777777" w:rsidTr="00535273">
        <w:trPr>
          <w:jc w:val="right"/>
        </w:trPr>
        <w:tc>
          <w:tcPr>
            <w:tcW w:w="2689" w:type="dxa"/>
          </w:tcPr>
          <w:p w14:paraId="31952BCB" w14:textId="77777777" w:rsidR="005A6B9B" w:rsidRDefault="005A6B9B" w:rsidP="00535273">
            <w:r>
              <w:t xml:space="preserve">Estimated total spend </w:t>
            </w:r>
          </w:p>
        </w:tc>
        <w:tc>
          <w:tcPr>
            <w:tcW w:w="1984" w:type="dxa"/>
          </w:tcPr>
          <w:p w14:paraId="42BDD35A" w14:textId="741C9C2D" w:rsidR="005A6B9B" w:rsidRDefault="005A6B9B" w:rsidP="00535273">
            <w:r>
              <w:t>£1</w:t>
            </w:r>
            <w:r w:rsidR="00202096">
              <w:t>2</w:t>
            </w:r>
            <w:r>
              <w:t>,8</w:t>
            </w:r>
            <w:r w:rsidR="00202096">
              <w:t>80</w:t>
            </w:r>
          </w:p>
        </w:tc>
      </w:tr>
      <w:tr w:rsidR="005A6B9B" w14:paraId="7D92C849" w14:textId="77777777" w:rsidTr="00535273">
        <w:trPr>
          <w:jc w:val="right"/>
        </w:trPr>
        <w:tc>
          <w:tcPr>
            <w:tcW w:w="2689" w:type="dxa"/>
          </w:tcPr>
          <w:p w14:paraId="5556A1CB" w14:textId="77777777" w:rsidR="005A6B9B" w:rsidRDefault="005A6B9B" w:rsidP="00535273">
            <w:r>
              <w:t>PP Income</w:t>
            </w:r>
          </w:p>
        </w:tc>
        <w:tc>
          <w:tcPr>
            <w:tcW w:w="1984" w:type="dxa"/>
          </w:tcPr>
          <w:p w14:paraId="7789D3E4" w14:textId="77777777" w:rsidR="005A6B9B" w:rsidRDefault="005A6B9B" w:rsidP="00535273">
            <w:r>
              <w:t>£12,880</w:t>
            </w:r>
          </w:p>
        </w:tc>
      </w:tr>
      <w:tr w:rsidR="005A6B9B" w14:paraId="3C422529" w14:textId="77777777" w:rsidTr="00535273">
        <w:trPr>
          <w:jc w:val="right"/>
        </w:trPr>
        <w:tc>
          <w:tcPr>
            <w:tcW w:w="2689" w:type="dxa"/>
          </w:tcPr>
          <w:p w14:paraId="031A9F78" w14:textId="77777777" w:rsidR="005A6B9B" w:rsidRDefault="005A6B9B" w:rsidP="00535273">
            <w:r>
              <w:t>Remaining</w:t>
            </w:r>
          </w:p>
        </w:tc>
        <w:tc>
          <w:tcPr>
            <w:tcW w:w="1984" w:type="dxa"/>
          </w:tcPr>
          <w:p w14:paraId="2F647751" w14:textId="6FC9AC75" w:rsidR="005A6B9B" w:rsidRDefault="005A6B9B" w:rsidP="00535273">
            <w:r>
              <w:t>£</w:t>
            </w:r>
            <w:r w:rsidR="00202096">
              <w:t>0</w:t>
            </w:r>
          </w:p>
        </w:tc>
      </w:tr>
    </w:tbl>
    <w:p w14:paraId="4A1AEB62" w14:textId="77777777" w:rsidR="00F24F2D" w:rsidRDefault="00F24F2D" w:rsidP="005A6B9B">
      <w:pPr>
        <w:jc w:val="right"/>
      </w:pPr>
    </w:p>
    <w:sectPr w:rsidR="00F24F2D" w:rsidSect="009D5F85">
      <w:headerReference w:type="even" r:id="rId13"/>
      <w:headerReference w:type="default" r:id="rId14"/>
      <w:footerReference w:type="default" r:id="rId15"/>
      <w:headerReference w:type="first" r:id="rId16"/>
      <w:pgSz w:w="16838" w:h="11906" w:orient="landscape"/>
      <w:pgMar w:top="680" w:right="851" w:bottom="680"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C68B" w14:textId="77777777" w:rsidR="003A4B6C" w:rsidRDefault="003A4B6C" w:rsidP="00CD68B1">
      <w:r>
        <w:separator/>
      </w:r>
    </w:p>
  </w:endnote>
  <w:endnote w:type="continuationSeparator" w:id="0">
    <w:p w14:paraId="7F69354A" w14:textId="77777777" w:rsidR="003A4B6C" w:rsidRDefault="003A4B6C"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057782"/>
      <w:docPartObj>
        <w:docPartGallery w:val="Page Numbers (Bottom of Page)"/>
        <w:docPartUnique/>
      </w:docPartObj>
    </w:sdtPr>
    <w:sdtEndPr>
      <w:rPr>
        <w:noProof/>
      </w:rPr>
    </w:sdtEndPr>
    <w:sdtContent>
      <w:p w14:paraId="6D81F914" w14:textId="2EC0EF13" w:rsidR="00C8694D" w:rsidRDefault="00C8694D" w:rsidP="00C31E33">
        <w:pPr>
          <w:pStyle w:val="Footer"/>
          <w:jc w:val="right"/>
          <w:rPr>
            <w:noProof/>
          </w:rPr>
        </w:pPr>
        <w:r>
          <w:fldChar w:fldCharType="begin"/>
        </w:r>
        <w:r>
          <w:instrText xml:space="preserve"> PAGE   \* MERGEFORMAT </w:instrText>
        </w:r>
        <w:r>
          <w:fldChar w:fldCharType="separate"/>
        </w:r>
        <w:r w:rsidR="008004C0">
          <w:rPr>
            <w:noProof/>
          </w:rPr>
          <w:t>8</w:t>
        </w:r>
        <w:r>
          <w:rPr>
            <w:noProof/>
          </w:rPr>
          <w:fldChar w:fldCharType="end"/>
        </w:r>
        <w:r>
          <w:rPr>
            <w:noProof/>
          </w:rPr>
          <w:t xml:space="preserve">       </w:t>
        </w:r>
      </w:p>
    </w:sdtContent>
  </w:sdt>
  <w:p w14:paraId="3ADD28CC" w14:textId="7738703E" w:rsidR="00C8694D" w:rsidRPr="00004FB6" w:rsidRDefault="00C31E33" w:rsidP="00C31E33">
    <w:pPr>
      <w:pStyle w:val="Footer"/>
      <w:jc w:val="center"/>
      <w:rPr>
        <w:rFonts w:ascii="Arial" w:hAnsi="Arial" w:cs="Arial"/>
      </w:rPr>
    </w:pPr>
    <w:r>
      <w:rPr>
        <w:noProof/>
      </w:rPr>
      <w:t>Pupil Premium Strategy   Harrold Primary Academy   201</w:t>
    </w:r>
    <w:r w:rsidR="00E2631E">
      <w:rPr>
        <w:noProof/>
      </w:rPr>
      <w:t>9</w:t>
    </w:r>
    <w:r>
      <w:rPr>
        <w:noProof/>
      </w:rPr>
      <w:t>/</w:t>
    </w:r>
    <w:r w:rsidR="00E2631E">
      <w:rPr>
        <w:noProof/>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7AAF" w14:textId="77777777" w:rsidR="003A4B6C" w:rsidRDefault="003A4B6C" w:rsidP="00CD68B1">
      <w:r>
        <w:separator/>
      </w:r>
    </w:p>
  </w:footnote>
  <w:footnote w:type="continuationSeparator" w:id="0">
    <w:p w14:paraId="3E98C05C" w14:textId="77777777" w:rsidR="003A4B6C" w:rsidRDefault="003A4B6C" w:rsidP="00CD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21B0" w14:textId="226A3CF8" w:rsidR="006C7A78" w:rsidRDefault="00A20316">
    <w:pPr>
      <w:pStyle w:val="Header"/>
    </w:pPr>
    <w:r>
      <w:rPr>
        <w:noProof/>
        <w:lang w:eastAsia="en-GB"/>
      </w:rPr>
      <w:pict w14:anchorId="60B1C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2" o:spid="_x0000_s2051" type="#_x0000_t75" alt="Screen Shot 2018-06-30 at 20" style="position:absolute;margin-left:0;margin-top:0;width:481.55pt;height:527pt;z-index:-251657216;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EB01" w14:textId="2026D9A3" w:rsidR="006C7A78" w:rsidRDefault="00A20316">
    <w:pPr>
      <w:pStyle w:val="Header"/>
    </w:pPr>
    <w:r>
      <w:rPr>
        <w:noProof/>
        <w:lang w:eastAsia="en-GB"/>
      </w:rPr>
      <w:pict w14:anchorId="0D78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3" o:spid="_x0000_s2050" type="#_x0000_t75" alt="Screen Shot 2018-06-30 at 20" style="position:absolute;margin-left:0;margin-top:0;width:481.55pt;height:527pt;z-index:-251656192;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E279" w14:textId="5AF7C5B0" w:rsidR="006C7A78" w:rsidRDefault="00A20316">
    <w:pPr>
      <w:pStyle w:val="Header"/>
    </w:pPr>
    <w:r>
      <w:rPr>
        <w:noProof/>
        <w:lang w:eastAsia="en-GB"/>
      </w:rPr>
      <w:pict w14:anchorId="6E67E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1" o:spid="_x0000_s2049" type="#_x0000_t75" alt="Screen Shot 2018-06-30 at 20" style="position:absolute;margin-left:0;margin-top:0;width:481.55pt;height:527pt;z-index:-251658240;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3D7"/>
    <w:multiLevelType w:val="hybridMultilevel"/>
    <w:tmpl w:val="990E3F26"/>
    <w:lvl w:ilvl="0" w:tplc="08090019">
      <w:start w:val="1"/>
      <w:numFmt w:val="lowerLetter"/>
      <w:lvlText w:val="%1."/>
      <w:lvlJc w:val="left"/>
      <w:pPr>
        <w:ind w:left="-151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76" w:hanging="180"/>
      </w:pPr>
    </w:lvl>
    <w:lvl w:ilvl="3" w:tplc="0809000F" w:tentative="1">
      <w:start w:val="1"/>
      <w:numFmt w:val="decimal"/>
      <w:lvlText w:val="%4."/>
      <w:lvlJc w:val="left"/>
      <w:pPr>
        <w:ind w:left="644" w:hanging="360"/>
      </w:pPr>
    </w:lvl>
    <w:lvl w:ilvl="4" w:tplc="08090019" w:tentative="1">
      <w:start w:val="1"/>
      <w:numFmt w:val="lowerLetter"/>
      <w:lvlText w:val="%5."/>
      <w:lvlJc w:val="left"/>
      <w:pPr>
        <w:ind w:left="1364" w:hanging="360"/>
      </w:pPr>
    </w:lvl>
    <w:lvl w:ilvl="5" w:tplc="0809001B" w:tentative="1">
      <w:start w:val="1"/>
      <w:numFmt w:val="lowerRoman"/>
      <w:lvlText w:val="%6."/>
      <w:lvlJc w:val="right"/>
      <w:pPr>
        <w:ind w:left="2084" w:hanging="180"/>
      </w:pPr>
    </w:lvl>
    <w:lvl w:ilvl="6" w:tplc="0809000F" w:tentative="1">
      <w:start w:val="1"/>
      <w:numFmt w:val="decimal"/>
      <w:lvlText w:val="%7."/>
      <w:lvlJc w:val="left"/>
      <w:pPr>
        <w:ind w:left="2804" w:hanging="360"/>
      </w:pPr>
    </w:lvl>
    <w:lvl w:ilvl="7" w:tplc="08090019" w:tentative="1">
      <w:start w:val="1"/>
      <w:numFmt w:val="lowerLetter"/>
      <w:lvlText w:val="%8."/>
      <w:lvlJc w:val="left"/>
      <w:pPr>
        <w:ind w:left="3524" w:hanging="360"/>
      </w:pPr>
    </w:lvl>
    <w:lvl w:ilvl="8" w:tplc="0809001B" w:tentative="1">
      <w:start w:val="1"/>
      <w:numFmt w:val="lowerRoman"/>
      <w:lvlText w:val="%9."/>
      <w:lvlJc w:val="right"/>
      <w:pPr>
        <w:ind w:left="4244" w:hanging="180"/>
      </w:pPr>
    </w:lvl>
  </w:abstractNum>
  <w:abstractNum w:abstractNumId="1" w15:restartNumberingAfterBreak="0">
    <w:nsid w:val="04EF74F6"/>
    <w:multiLevelType w:val="hybridMultilevel"/>
    <w:tmpl w:val="89A63B16"/>
    <w:lvl w:ilvl="0" w:tplc="90B0208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197E"/>
    <w:multiLevelType w:val="hybridMultilevel"/>
    <w:tmpl w:val="B240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7656C"/>
    <w:multiLevelType w:val="hybridMultilevel"/>
    <w:tmpl w:val="2B0CCA06"/>
    <w:lvl w:ilvl="0" w:tplc="DBE469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44166"/>
    <w:multiLevelType w:val="hybridMultilevel"/>
    <w:tmpl w:val="EE084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D2C39"/>
    <w:multiLevelType w:val="hybridMultilevel"/>
    <w:tmpl w:val="07B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F97AAC"/>
    <w:multiLevelType w:val="hybridMultilevel"/>
    <w:tmpl w:val="B22CE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9E2972"/>
    <w:multiLevelType w:val="hybridMultilevel"/>
    <w:tmpl w:val="7AA46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0E76BC"/>
    <w:multiLevelType w:val="hybridMultilevel"/>
    <w:tmpl w:val="B3AEC470"/>
    <w:lvl w:ilvl="0" w:tplc="86C815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626BC6"/>
    <w:multiLevelType w:val="hybridMultilevel"/>
    <w:tmpl w:val="9E326F5C"/>
    <w:lvl w:ilvl="0" w:tplc="DBE469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84AA7"/>
    <w:multiLevelType w:val="hybridMultilevel"/>
    <w:tmpl w:val="4DA6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C1818"/>
    <w:multiLevelType w:val="hybridMultilevel"/>
    <w:tmpl w:val="5CA8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A37E2"/>
    <w:multiLevelType w:val="hybridMultilevel"/>
    <w:tmpl w:val="A14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70FE7"/>
    <w:multiLevelType w:val="hybridMultilevel"/>
    <w:tmpl w:val="FC1C48A2"/>
    <w:lvl w:ilvl="0" w:tplc="90B0208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942B7"/>
    <w:multiLevelType w:val="hybridMultilevel"/>
    <w:tmpl w:val="50B0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131A4"/>
    <w:multiLevelType w:val="hybridMultilevel"/>
    <w:tmpl w:val="1F2C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E5EF6"/>
    <w:multiLevelType w:val="hybridMultilevel"/>
    <w:tmpl w:val="B34CEF96"/>
    <w:lvl w:ilvl="0" w:tplc="86C815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A63F3"/>
    <w:multiLevelType w:val="hybridMultilevel"/>
    <w:tmpl w:val="7B18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C222F"/>
    <w:multiLevelType w:val="hybridMultilevel"/>
    <w:tmpl w:val="5FE6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75BBD"/>
    <w:multiLevelType w:val="hybridMultilevel"/>
    <w:tmpl w:val="B4C6B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95C3B"/>
    <w:multiLevelType w:val="hybridMultilevel"/>
    <w:tmpl w:val="40F8E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8A52EDF"/>
    <w:multiLevelType w:val="hybridMultilevel"/>
    <w:tmpl w:val="C7687E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34264"/>
    <w:multiLevelType w:val="hybridMultilevel"/>
    <w:tmpl w:val="576E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B5B45"/>
    <w:multiLevelType w:val="hybridMultilevel"/>
    <w:tmpl w:val="4382312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E53E03"/>
    <w:multiLevelType w:val="hybridMultilevel"/>
    <w:tmpl w:val="977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73D41"/>
    <w:multiLevelType w:val="hybridMultilevel"/>
    <w:tmpl w:val="42CC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821B10"/>
    <w:multiLevelType w:val="hybridMultilevel"/>
    <w:tmpl w:val="8200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E2EB2"/>
    <w:multiLevelType w:val="hybridMultilevel"/>
    <w:tmpl w:val="2256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47B1E"/>
    <w:multiLevelType w:val="hybridMultilevel"/>
    <w:tmpl w:val="DCA6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F2BC5"/>
    <w:multiLevelType w:val="hybridMultilevel"/>
    <w:tmpl w:val="D436B718"/>
    <w:lvl w:ilvl="0" w:tplc="90B0208C">
      <w:start w:val="2"/>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655076FB"/>
    <w:multiLevelType w:val="hybridMultilevel"/>
    <w:tmpl w:val="2590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40535"/>
    <w:multiLevelType w:val="hybridMultilevel"/>
    <w:tmpl w:val="B69C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2098B"/>
    <w:multiLevelType w:val="hybridMultilevel"/>
    <w:tmpl w:val="A398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55C2C"/>
    <w:multiLevelType w:val="hybridMultilevel"/>
    <w:tmpl w:val="A0DA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26BC8"/>
    <w:multiLevelType w:val="hybridMultilevel"/>
    <w:tmpl w:val="66E60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82818"/>
    <w:multiLevelType w:val="hybridMultilevel"/>
    <w:tmpl w:val="BCF6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B0BB2"/>
    <w:multiLevelType w:val="hybridMultilevel"/>
    <w:tmpl w:val="A90CBE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5"/>
  </w:num>
  <w:num w:numId="4">
    <w:abstractNumId w:val="0"/>
  </w:num>
  <w:num w:numId="5">
    <w:abstractNumId w:val="33"/>
  </w:num>
  <w:num w:numId="6">
    <w:abstractNumId w:val="14"/>
  </w:num>
  <w:num w:numId="7">
    <w:abstractNumId w:val="13"/>
  </w:num>
  <w:num w:numId="8">
    <w:abstractNumId w:val="28"/>
  </w:num>
  <w:num w:numId="9">
    <w:abstractNumId w:val="29"/>
  </w:num>
  <w:num w:numId="10">
    <w:abstractNumId w:val="26"/>
  </w:num>
  <w:num w:numId="11">
    <w:abstractNumId w:val="36"/>
  </w:num>
  <w:num w:numId="12">
    <w:abstractNumId w:val="21"/>
  </w:num>
  <w:num w:numId="13">
    <w:abstractNumId w:val="4"/>
  </w:num>
  <w:num w:numId="14">
    <w:abstractNumId w:val="38"/>
  </w:num>
  <w:num w:numId="15">
    <w:abstractNumId w:val="25"/>
  </w:num>
  <w:num w:numId="16">
    <w:abstractNumId w:val="23"/>
  </w:num>
  <w:num w:numId="17">
    <w:abstractNumId w:val="20"/>
  </w:num>
  <w:num w:numId="18">
    <w:abstractNumId w:val="27"/>
  </w:num>
  <w:num w:numId="19">
    <w:abstractNumId w:val="32"/>
  </w:num>
  <w:num w:numId="20">
    <w:abstractNumId w:val="12"/>
  </w:num>
  <w:num w:numId="21">
    <w:abstractNumId w:val="9"/>
  </w:num>
  <w:num w:numId="22">
    <w:abstractNumId w:val="17"/>
  </w:num>
  <w:num w:numId="23">
    <w:abstractNumId w:val="2"/>
  </w:num>
  <w:num w:numId="24">
    <w:abstractNumId w:val="16"/>
  </w:num>
  <w:num w:numId="25">
    <w:abstractNumId w:val="8"/>
  </w:num>
  <w:num w:numId="26">
    <w:abstractNumId w:val="24"/>
  </w:num>
  <w:num w:numId="27">
    <w:abstractNumId w:val="18"/>
  </w:num>
  <w:num w:numId="28">
    <w:abstractNumId w:val="1"/>
  </w:num>
  <w:num w:numId="29">
    <w:abstractNumId w:val="31"/>
  </w:num>
  <w:num w:numId="30">
    <w:abstractNumId w:val="37"/>
  </w:num>
  <w:num w:numId="31">
    <w:abstractNumId w:val="35"/>
  </w:num>
  <w:num w:numId="32">
    <w:abstractNumId w:val="15"/>
  </w:num>
  <w:num w:numId="33">
    <w:abstractNumId w:val="19"/>
  </w:num>
  <w:num w:numId="34">
    <w:abstractNumId w:val="30"/>
  </w:num>
  <w:num w:numId="35">
    <w:abstractNumId w:val="6"/>
  </w:num>
  <w:num w:numId="36">
    <w:abstractNumId w:val="11"/>
  </w:num>
  <w:num w:numId="37">
    <w:abstractNumId w:val="3"/>
  </w:num>
  <w:num w:numId="38">
    <w:abstractNumId w:val="10"/>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72"/>
    <w:rsid w:val="00004FB6"/>
    <w:rsid w:val="0001328C"/>
    <w:rsid w:val="00013432"/>
    <w:rsid w:val="00016C3C"/>
    <w:rsid w:val="000213EA"/>
    <w:rsid w:val="000315F8"/>
    <w:rsid w:val="000359BF"/>
    <w:rsid w:val="00041A41"/>
    <w:rsid w:val="000435C4"/>
    <w:rsid w:val="0004399F"/>
    <w:rsid w:val="0004731E"/>
    <w:rsid w:val="000473C9"/>
    <w:rsid w:val="000501F0"/>
    <w:rsid w:val="000507DF"/>
    <w:rsid w:val="00052324"/>
    <w:rsid w:val="000557F9"/>
    <w:rsid w:val="00063367"/>
    <w:rsid w:val="00064D90"/>
    <w:rsid w:val="00086ECB"/>
    <w:rsid w:val="000A25FC"/>
    <w:rsid w:val="000B25ED"/>
    <w:rsid w:val="000B5413"/>
    <w:rsid w:val="000C37C2"/>
    <w:rsid w:val="000C4CF8"/>
    <w:rsid w:val="000D0B47"/>
    <w:rsid w:val="000D480D"/>
    <w:rsid w:val="000D5F78"/>
    <w:rsid w:val="000D7ED1"/>
    <w:rsid w:val="000E0922"/>
    <w:rsid w:val="000E33E5"/>
    <w:rsid w:val="000E4243"/>
    <w:rsid w:val="000F31F7"/>
    <w:rsid w:val="000F5788"/>
    <w:rsid w:val="000F7421"/>
    <w:rsid w:val="001137CF"/>
    <w:rsid w:val="00115AD9"/>
    <w:rsid w:val="00117186"/>
    <w:rsid w:val="00121D72"/>
    <w:rsid w:val="00123A4B"/>
    <w:rsid w:val="00125340"/>
    <w:rsid w:val="00125BA7"/>
    <w:rsid w:val="00126CF1"/>
    <w:rsid w:val="00131CA9"/>
    <w:rsid w:val="00137016"/>
    <w:rsid w:val="001849D6"/>
    <w:rsid w:val="001A45B4"/>
    <w:rsid w:val="001A7D34"/>
    <w:rsid w:val="001B189C"/>
    <w:rsid w:val="001B794A"/>
    <w:rsid w:val="001C3E75"/>
    <w:rsid w:val="001C686D"/>
    <w:rsid w:val="001D138C"/>
    <w:rsid w:val="001D52D8"/>
    <w:rsid w:val="001E31C2"/>
    <w:rsid w:val="001E5DEE"/>
    <w:rsid w:val="001E6616"/>
    <w:rsid w:val="001E7673"/>
    <w:rsid w:val="001E7B91"/>
    <w:rsid w:val="001F1F8F"/>
    <w:rsid w:val="001F4E03"/>
    <w:rsid w:val="00202096"/>
    <w:rsid w:val="00210FFF"/>
    <w:rsid w:val="00215F14"/>
    <w:rsid w:val="00217E91"/>
    <w:rsid w:val="00232CF5"/>
    <w:rsid w:val="00237B04"/>
    <w:rsid w:val="00240F98"/>
    <w:rsid w:val="00254A66"/>
    <w:rsid w:val="0025767C"/>
    <w:rsid w:val="00257811"/>
    <w:rsid w:val="00262114"/>
    <w:rsid w:val="002622B6"/>
    <w:rsid w:val="002647FA"/>
    <w:rsid w:val="00267F85"/>
    <w:rsid w:val="00274DD8"/>
    <w:rsid w:val="00275149"/>
    <w:rsid w:val="00280FFD"/>
    <w:rsid w:val="002856C3"/>
    <w:rsid w:val="002954A6"/>
    <w:rsid w:val="00296034"/>
    <w:rsid w:val="002962F2"/>
    <w:rsid w:val="002A1710"/>
    <w:rsid w:val="002B3394"/>
    <w:rsid w:val="002D0A33"/>
    <w:rsid w:val="002D22A0"/>
    <w:rsid w:val="002E686F"/>
    <w:rsid w:val="002F6FB5"/>
    <w:rsid w:val="003012DB"/>
    <w:rsid w:val="00303586"/>
    <w:rsid w:val="00304634"/>
    <w:rsid w:val="00311A28"/>
    <w:rsid w:val="00320C3A"/>
    <w:rsid w:val="0032149E"/>
    <w:rsid w:val="003243E6"/>
    <w:rsid w:val="00337056"/>
    <w:rsid w:val="00351952"/>
    <w:rsid w:val="00351C8E"/>
    <w:rsid w:val="0035244D"/>
    <w:rsid w:val="00366499"/>
    <w:rsid w:val="00374444"/>
    <w:rsid w:val="00376708"/>
    <w:rsid w:val="00380587"/>
    <w:rsid w:val="003822C1"/>
    <w:rsid w:val="00390402"/>
    <w:rsid w:val="00395794"/>
    <w:rsid w:val="003957BD"/>
    <w:rsid w:val="003961A3"/>
    <w:rsid w:val="00396F22"/>
    <w:rsid w:val="003A4B6C"/>
    <w:rsid w:val="003B2167"/>
    <w:rsid w:val="003B4DF1"/>
    <w:rsid w:val="003B5C5D"/>
    <w:rsid w:val="003B6371"/>
    <w:rsid w:val="003C79F6"/>
    <w:rsid w:val="003C7C59"/>
    <w:rsid w:val="003D2143"/>
    <w:rsid w:val="003D7DB8"/>
    <w:rsid w:val="003E0402"/>
    <w:rsid w:val="003F5CA1"/>
    <w:rsid w:val="003F7BE2"/>
    <w:rsid w:val="00402EED"/>
    <w:rsid w:val="00404390"/>
    <w:rsid w:val="004107D2"/>
    <w:rsid w:val="00423264"/>
    <w:rsid w:val="004265E0"/>
    <w:rsid w:val="00435936"/>
    <w:rsid w:val="00456ABA"/>
    <w:rsid w:val="00460CA6"/>
    <w:rsid w:val="00461E64"/>
    <w:rsid w:val="004642B2"/>
    <w:rsid w:val="004642BC"/>
    <w:rsid w:val="004667CF"/>
    <w:rsid w:val="004667DB"/>
    <w:rsid w:val="004673EA"/>
    <w:rsid w:val="0047027D"/>
    <w:rsid w:val="00481041"/>
    <w:rsid w:val="004823A7"/>
    <w:rsid w:val="0048290B"/>
    <w:rsid w:val="00487756"/>
    <w:rsid w:val="00490197"/>
    <w:rsid w:val="0049188F"/>
    <w:rsid w:val="00492683"/>
    <w:rsid w:val="00496D7D"/>
    <w:rsid w:val="004B1464"/>
    <w:rsid w:val="004B3C35"/>
    <w:rsid w:val="004B5001"/>
    <w:rsid w:val="004C5467"/>
    <w:rsid w:val="004D053F"/>
    <w:rsid w:val="004D3FC1"/>
    <w:rsid w:val="004E5349"/>
    <w:rsid w:val="004E5B85"/>
    <w:rsid w:val="004F0052"/>
    <w:rsid w:val="004F36D5"/>
    <w:rsid w:val="004F60C2"/>
    <w:rsid w:val="004F6468"/>
    <w:rsid w:val="00501685"/>
    <w:rsid w:val="00503380"/>
    <w:rsid w:val="005056C0"/>
    <w:rsid w:val="005118E3"/>
    <w:rsid w:val="0051199A"/>
    <w:rsid w:val="00530007"/>
    <w:rsid w:val="005341C9"/>
    <w:rsid w:val="00535533"/>
    <w:rsid w:val="00540101"/>
    <w:rsid w:val="00540319"/>
    <w:rsid w:val="00541F7B"/>
    <w:rsid w:val="00555EA7"/>
    <w:rsid w:val="00557E19"/>
    <w:rsid w:val="00557E9F"/>
    <w:rsid w:val="00564E12"/>
    <w:rsid w:val="0056652E"/>
    <w:rsid w:val="005710AB"/>
    <w:rsid w:val="00581410"/>
    <w:rsid w:val="005832BE"/>
    <w:rsid w:val="0058583E"/>
    <w:rsid w:val="005903FF"/>
    <w:rsid w:val="005906E8"/>
    <w:rsid w:val="00597346"/>
    <w:rsid w:val="005A04D4"/>
    <w:rsid w:val="005A25B5"/>
    <w:rsid w:val="005A3451"/>
    <w:rsid w:val="005A4947"/>
    <w:rsid w:val="005A6B9B"/>
    <w:rsid w:val="005D06F3"/>
    <w:rsid w:val="005D3197"/>
    <w:rsid w:val="005E2CF9"/>
    <w:rsid w:val="005E54F3"/>
    <w:rsid w:val="00601130"/>
    <w:rsid w:val="0060125A"/>
    <w:rsid w:val="00603903"/>
    <w:rsid w:val="00611495"/>
    <w:rsid w:val="00620176"/>
    <w:rsid w:val="006267A5"/>
    <w:rsid w:val="00626887"/>
    <w:rsid w:val="00630044"/>
    <w:rsid w:val="00630BE0"/>
    <w:rsid w:val="00635C9D"/>
    <w:rsid w:val="00636313"/>
    <w:rsid w:val="00636F61"/>
    <w:rsid w:val="00651AE9"/>
    <w:rsid w:val="006648EC"/>
    <w:rsid w:val="006761BB"/>
    <w:rsid w:val="00683A3C"/>
    <w:rsid w:val="00691FE5"/>
    <w:rsid w:val="006A25AD"/>
    <w:rsid w:val="006A5D30"/>
    <w:rsid w:val="006B2D92"/>
    <w:rsid w:val="006B358C"/>
    <w:rsid w:val="006C7A78"/>
    <w:rsid w:val="006C7C85"/>
    <w:rsid w:val="006D447D"/>
    <w:rsid w:val="006D5E63"/>
    <w:rsid w:val="006D67FF"/>
    <w:rsid w:val="006E1BFF"/>
    <w:rsid w:val="006E61DB"/>
    <w:rsid w:val="006E6C0F"/>
    <w:rsid w:val="006F0B6A"/>
    <w:rsid w:val="006F2883"/>
    <w:rsid w:val="00700CA9"/>
    <w:rsid w:val="00721DD2"/>
    <w:rsid w:val="00723381"/>
    <w:rsid w:val="007335B7"/>
    <w:rsid w:val="007378D9"/>
    <w:rsid w:val="007404BA"/>
    <w:rsid w:val="007426E8"/>
    <w:rsid w:val="00743BF3"/>
    <w:rsid w:val="00744C97"/>
    <w:rsid w:val="00746605"/>
    <w:rsid w:val="00764B02"/>
    <w:rsid w:val="00765EFB"/>
    <w:rsid w:val="00766387"/>
    <w:rsid w:val="00767E1D"/>
    <w:rsid w:val="00785B4E"/>
    <w:rsid w:val="00797116"/>
    <w:rsid w:val="007A2742"/>
    <w:rsid w:val="007A34A5"/>
    <w:rsid w:val="007B141B"/>
    <w:rsid w:val="007B228E"/>
    <w:rsid w:val="007B3FB0"/>
    <w:rsid w:val="007B5C67"/>
    <w:rsid w:val="007C2B91"/>
    <w:rsid w:val="007C4F4A"/>
    <w:rsid w:val="007C5997"/>
    <w:rsid w:val="007C749E"/>
    <w:rsid w:val="007D0871"/>
    <w:rsid w:val="007E1E0D"/>
    <w:rsid w:val="007F271A"/>
    <w:rsid w:val="007F3C16"/>
    <w:rsid w:val="008004C0"/>
    <w:rsid w:val="00805B2F"/>
    <w:rsid w:val="0082251D"/>
    <w:rsid w:val="00827203"/>
    <w:rsid w:val="00830607"/>
    <w:rsid w:val="0084389C"/>
    <w:rsid w:val="00845265"/>
    <w:rsid w:val="008452B6"/>
    <w:rsid w:val="00845490"/>
    <w:rsid w:val="00845B4F"/>
    <w:rsid w:val="00850087"/>
    <w:rsid w:val="0085024F"/>
    <w:rsid w:val="008578E1"/>
    <w:rsid w:val="00863790"/>
    <w:rsid w:val="008643BA"/>
    <w:rsid w:val="00864593"/>
    <w:rsid w:val="0088412D"/>
    <w:rsid w:val="008B366B"/>
    <w:rsid w:val="008B6A78"/>
    <w:rsid w:val="008B7FE5"/>
    <w:rsid w:val="008C10E9"/>
    <w:rsid w:val="008D1F6F"/>
    <w:rsid w:val="008D58CE"/>
    <w:rsid w:val="008E364E"/>
    <w:rsid w:val="008E64E9"/>
    <w:rsid w:val="008F0F73"/>
    <w:rsid w:val="008F69EC"/>
    <w:rsid w:val="0090049A"/>
    <w:rsid w:val="009021E8"/>
    <w:rsid w:val="00905493"/>
    <w:rsid w:val="009079EE"/>
    <w:rsid w:val="009129EF"/>
    <w:rsid w:val="00914D6D"/>
    <w:rsid w:val="00915380"/>
    <w:rsid w:val="00915C65"/>
    <w:rsid w:val="00917D70"/>
    <w:rsid w:val="009242F1"/>
    <w:rsid w:val="0092691E"/>
    <w:rsid w:val="0093377D"/>
    <w:rsid w:val="00934EE7"/>
    <w:rsid w:val="00936885"/>
    <w:rsid w:val="00955660"/>
    <w:rsid w:val="00971FCC"/>
    <w:rsid w:val="00972129"/>
    <w:rsid w:val="00975740"/>
    <w:rsid w:val="00977B77"/>
    <w:rsid w:val="00986568"/>
    <w:rsid w:val="0099209C"/>
    <w:rsid w:val="00992C5E"/>
    <w:rsid w:val="009C4A80"/>
    <w:rsid w:val="009C7C3B"/>
    <w:rsid w:val="009D5189"/>
    <w:rsid w:val="009D5F85"/>
    <w:rsid w:val="009D61CA"/>
    <w:rsid w:val="009E205A"/>
    <w:rsid w:val="009E67BF"/>
    <w:rsid w:val="009E7A9D"/>
    <w:rsid w:val="009F1341"/>
    <w:rsid w:val="009F480D"/>
    <w:rsid w:val="009F6AEC"/>
    <w:rsid w:val="00A00036"/>
    <w:rsid w:val="00A02BC0"/>
    <w:rsid w:val="00A11B62"/>
    <w:rsid w:val="00A13FBB"/>
    <w:rsid w:val="00A1486A"/>
    <w:rsid w:val="00A167A8"/>
    <w:rsid w:val="00A20316"/>
    <w:rsid w:val="00A24C51"/>
    <w:rsid w:val="00A32773"/>
    <w:rsid w:val="00A33F73"/>
    <w:rsid w:val="00A36D22"/>
    <w:rsid w:val="00A37195"/>
    <w:rsid w:val="00A37D2D"/>
    <w:rsid w:val="00A439AF"/>
    <w:rsid w:val="00A57107"/>
    <w:rsid w:val="00A60ECF"/>
    <w:rsid w:val="00A6273A"/>
    <w:rsid w:val="00A6366C"/>
    <w:rsid w:val="00A64192"/>
    <w:rsid w:val="00A71721"/>
    <w:rsid w:val="00A77153"/>
    <w:rsid w:val="00A77643"/>
    <w:rsid w:val="00A8709B"/>
    <w:rsid w:val="00A93F5D"/>
    <w:rsid w:val="00A94FC7"/>
    <w:rsid w:val="00AA1A72"/>
    <w:rsid w:val="00AA303D"/>
    <w:rsid w:val="00AA57C9"/>
    <w:rsid w:val="00AB5B2A"/>
    <w:rsid w:val="00AB5C5E"/>
    <w:rsid w:val="00AE38E1"/>
    <w:rsid w:val="00AE66C2"/>
    <w:rsid w:val="00AE77EC"/>
    <w:rsid w:val="00AE78F2"/>
    <w:rsid w:val="00AF4EEC"/>
    <w:rsid w:val="00AF50E8"/>
    <w:rsid w:val="00B01C9A"/>
    <w:rsid w:val="00B12E18"/>
    <w:rsid w:val="00B13714"/>
    <w:rsid w:val="00B17B33"/>
    <w:rsid w:val="00B31AA4"/>
    <w:rsid w:val="00B3409B"/>
    <w:rsid w:val="00B369C7"/>
    <w:rsid w:val="00B36BB9"/>
    <w:rsid w:val="00B44A21"/>
    <w:rsid w:val="00B44E17"/>
    <w:rsid w:val="00B52EDE"/>
    <w:rsid w:val="00B55BC5"/>
    <w:rsid w:val="00B60E7C"/>
    <w:rsid w:val="00B61BDA"/>
    <w:rsid w:val="00B63631"/>
    <w:rsid w:val="00B668B6"/>
    <w:rsid w:val="00B7195B"/>
    <w:rsid w:val="00B72939"/>
    <w:rsid w:val="00B74155"/>
    <w:rsid w:val="00B80272"/>
    <w:rsid w:val="00B81BBE"/>
    <w:rsid w:val="00B9382E"/>
    <w:rsid w:val="00BA3C3E"/>
    <w:rsid w:val="00BC7733"/>
    <w:rsid w:val="00BD1478"/>
    <w:rsid w:val="00BD4E60"/>
    <w:rsid w:val="00BD5DAC"/>
    <w:rsid w:val="00BE3670"/>
    <w:rsid w:val="00BE3D6D"/>
    <w:rsid w:val="00BE5BCA"/>
    <w:rsid w:val="00BF1CF3"/>
    <w:rsid w:val="00BF32D1"/>
    <w:rsid w:val="00BF477F"/>
    <w:rsid w:val="00C00F3C"/>
    <w:rsid w:val="00C04C4C"/>
    <w:rsid w:val="00C068B2"/>
    <w:rsid w:val="00C102E1"/>
    <w:rsid w:val="00C11BF9"/>
    <w:rsid w:val="00C1275B"/>
    <w:rsid w:val="00C14FAE"/>
    <w:rsid w:val="00C20A26"/>
    <w:rsid w:val="00C31E33"/>
    <w:rsid w:val="00C32D5C"/>
    <w:rsid w:val="00C34113"/>
    <w:rsid w:val="00C35120"/>
    <w:rsid w:val="00C47D81"/>
    <w:rsid w:val="00C62EB0"/>
    <w:rsid w:val="00C633DC"/>
    <w:rsid w:val="00C70B05"/>
    <w:rsid w:val="00C73995"/>
    <w:rsid w:val="00C77968"/>
    <w:rsid w:val="00C8030B"/>
    <w:rsid w:val="00C8694D"/>
    <w:rsid w:val="00CA1AF5"/>
    <w:rsid w:val="00CA707B"/>
    <w:rsid w:val="00CB2F83"/>
    <w:rsid w:val="00CD2230"/>
    <w:rsid w:val="00CD56DD"/>
    <w:rsid w:val="00CD68B1"/>
    <w:rsid w:val="00CE07FC"/>
    <w:rsid w:val="00CE1584"/>
    <w:rsid w:val="00CF02DE"/>
    <w:rsid w:val="00CF1B9B"/>
    <w:rsid w:val="00CF3C69"/>
    <w:rsid w:val="00D01040"/>
    <w:rsid w:val="00D11A2D"/>
    <w:rsid w:val="00D11FC9"/>
    <w:rsid w:val="00D202E4"/>
    <w:rsid w:val="00D22D5E"/>
    <w:rsid w:val="00D309A5"/>
    <w:rsid w:val="00D346EE"/>
    <w:rsid w:val="00D35464"/>
    <w:rsid w:val="00D370F4"/>
    <w:rsid w:val="00D46E95"/>
    <w:rsid w:val="00D471D8"/>
    <w:rsid w:val="00D479AF"/>
    <w:rsid w:val="00D504EA"/>
    <w:rsid w:val="00D51EA2"/>
    <w:rsid w:val="00D623CE"/>
    <w:rsid w:val="00D74FEE"/>
    <w:rsid w:val="00D773EF"/>
    <w:rsid w:val="00D80028"/>
    <w:rsid w:val="00D82EF5"/>
    <w:rsid w:val="00D8454C"/>
    <w:rsid w:val="00D857C5"/>
    <w:rsid w:val="00D9429A"/>
    <w:rsid w:val="00DA4D4B"/>
    <w:rsid w:val="00DA5CEC"/>
    <w:rsid w:val="00DB23CF"/>
    <w:rsid w:val="00DC3F30"/>
    <w:rsid w:val="00DE33BF"/>
    <w:rsid w:val="00DE5624"/>
    <w:rsid w:val="00DF06C1"/>
    <w:rsid w:val="00DF1986"/>
    <w:rsid w:val="00DF6C95"/>
    <w:rsid w:val="00DF76AB"/>
    <w:rsid w:val="00E04EE8"/>
    <w:rsid w:val="00E106F9"/>
    <w:rsid w:val="00E1660E"/>
    <w:rsid w:val="00E17BA3"/>
    <w:rsid w:val="00E20F63"/>
    <w:rsid w:val="00E2631E"/>
    <w:rsid w:val="00E34A8F"/>
    <w:rsid w:val="00E354EA"/>
    <w:rsid w:val="00E355AE"/>
    <w:rsid w:val="00E35628"/>
    <w:rsid w:val="00E37B08"/>
    <w:rsid w:val="00E5066A"/>
    <w:rsid w:val="00E55AEB"/>
    <w:rsid w:val="00E73B20"/>
    <w:rsid w:val="00E865E4"/>
    <w:rsid w:val="00E93B0D"/>
    <w:rsid w:val="00E96E48"/>
    <w:rsid w:val="00EA5F16"/>
    <w:rsid w:val="00EB090F"/>
    <w:rsid w:val="00EB4FA7"/>
    <w:rsid w:val="00EB7216"/>
    <w:rsid w:val="00EC691C"/>
    <w:rsid w:val="00ED0F8C"/>
    <w:rsid w:val="00ED1C6D"/>
    <w:rsid w:val="00ED2013"/>
    <w:rsid w:val="00ED7E26"/>
    <w:rsid w:val="00EE4D95"/>
    <w:rsid w:val="00EE50D0"/>
    <w:rsid w:val="00EF2A09"/>
    <w:rsid w:val="00EF2C1C"/>
    <w:rsid w:val="00F01E55"/>
    <w:rsid w:val="00F148B0"/>
    <w:rsid w:val="00F23D9E"/>
    <w:rsid w:val="00F24F2D"/>
    <w:rsid w:val="00F25DF2"/>
    <w:rsid w:val="00F359FE"/>
    <w:rsid w:val="00F36497"/>
    <w:rsid w:val="00F367C9"/>
    <w:rsid w:val="00F410C0"/>
    <w:rsid w:val="00F466F2"/>
    <w:rsid w:val="00F47525"/>
    <w:rsid w:val="00F54E2A"/>
    <w:rsid w:val="00F55645"/>
    <w:rsid w:val="00F55C42"/>
    <w:rsid w:val="00F55DE6"/>
    <w:rsid w:val="00F601A2"/>
    <w:rsid w:val="00F61904"/>
    <w:rsid w:val="00F64664"/>
    <w:rsid w:val="00F66EBE"/>
    <w:rsid w:val="00F71231"/>
    <w:rsid w:val="00F7659B"/>
    <w:rsid w:val="00F81AD3"/>
    <w:rsid w:val="00F84A60"/>
    <w:rsid w:val="00F85CBD"/>
    <w:rsid w:val="00F87EC9"/>
    <w:rsid w:val="00F93C25"/>
    <w:rsid w:val="00F9458B"/>
    <w:rsid w:val="00F970BA"/>
    <w:rsid w:val="00FB153F"/>
    <w:rsid w:val="00FB223A"/>
    <w:rsid w:val="00FB625C"/>
    <w:rsid w:val="00FC2CEF"/>
    <w:rsid w:val="00FC6354"/>
    <w:rsid w:val="00FC7C32"/>
    <w:rsid w:val="00FE1F6B"/>
    <w:rsid w:val="00FE217E"/>
    <w:rsid w:val="00FE7D1E"/>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AB0B5E"/>
  <w15:docId w15:val="{83780A68-5176-418B-92E7-72396B9C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D92"/>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1"/>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Spacing">
    <w:name w:val="No Spacing"/>
    <w:uiPriority w:val="1"/>
    <w:qFormat/>
    <w:rsid w:val="00581410"/>
    <w:pPr>
      <w:spacing w:after="0" w:line="240" w:lineRule="auto"/>
    </w:pPr>
  </w:style>
  <w:style w:type="paragraph" w:styleId="NormalWeb">
    <w:name w:val="Normal (Web)"/>
    <w:basedOn w:val="Normal"/>
    <w:uiPriority w:val="99"/>
    <w:semiHidden/>
    <w:unhideWhenUsed/>
    <w:rsid w:val="000E33E5"/>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A6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7804">
      <w:bodyDiv w:val="1"/>
      <w:marLeft w:val="0"/>
      <w:marRight w:val="0"/>
      <w:marTop w:val="0"/>
      <w:marBottom w:val="0"/>
      <w:divBdr>
        <w:top w:val="none" w:sz="0" w:space="0" w:color="auto"/>
        <w:left w:val="none" w:sz="0" w:space="0" w:color="auto"/>
        <w:bottom w:val="none" w:sz="0" w:space="0" w:color="auto"/>
        <w:right w:val="none" w:sz="0" w:space="0" w:color="auto"/>
      </w:divBdr>
      <w:divsChild>
        <w:div w:id="775096300">
          <w:marLeft w:val="0"/>
          <w:marRight w:val="0"/>
          <w:marTop w:val="0"/>
          <w:marBottom w:val="0"/>
          <w:divBdr>
            <w:top w:val="none" w:sz="0" w:space="0" w:color="auto"/>
            <w:left w:val="none" w:sz="0" w:space="0" w:color="auto"/>
            <w:bottom w:val="none" w:sz="0" w:space="0" w:color="auto"/>
            <w:right w:val="none" w:sz="0" w:space="0" w:color="auto"/>
          </w:divBdr>
          <w:divsChild>
            <w:div w:id="1827355563">
              <w:marLeft w:val="0"/>
              <w:marRight w:val="0"/>
              <w:marTop w:val="0"/>
              <w:marBottom w:val="0"/>
              <w:divBdr>
                <w:top w:val="none" w:sz="0" w:space="0" w:color="auto"/>
                <w:left w:val="none" w:sz="0" w:space="0" w:color="auto"/>
                <w:bottom w:val="none" w:sz="0" w:space="0" w:color="auto"/>
                <w:right w:val="none" w:sz="0" w:space="0" w:color="auto"/>
              </w:divBdr>
              <w:divsChild>
                <w:div w:id="67003665">
                  <w:marLeft w:val="0"/>
                  <w:marRight w:val="0"/>
                  <w:marTop w:val="0"/>
                  <w:marBottom w:val="0"/>
                  <w:divBdr>
                    <w:top w:val="none" w:sz="0" w:space="0" w:color="auto"/>
                    <w:left w:val="none" w:sz="0" w:space="0" w:color="auto"/>
                    <w:bottom w:val="none" w:sz="0" w:space="0" w:color="auto"/>
                    <w:right w:val="none" w:sz="0" w:space="0" w:color="auto"/>
                  </w:divBdr>
                  <w:divsChild>
                    <w:div w:id="15582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5540">
      <w:bodyDiv w:val="1"/>
      <w:marLeft w:val="0"/>
      <w:marRight w:val="0"/>
      <w:marTop w:val="0"/>
      <w:marBottom w:val="0"/>
      <w:divBdr>
        <w:top w:val="none" w:sz="0" w:space="0" w:color="auto"/>
        <w:left w:val="none" w:sz="0" w:space="0" w:color="auto"/>
        <w:bottom w:val="none" w:sz="0" w:space="0" w:color="auto"/>
        <w:right w:val="none" w:sz="0" w:space="0" w:color="auto"/>
      </w:divBdr>
    </w:div>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MMNJCVCXF7WK-21-71719</_dlc_DocId>
    <_dlc_DocIdUrl xmlns="b8cb3cbd-ce5c-4a72-9da4-9013f91c5903">
      <Url>http://workplaces/sites/ncsss/k/_layouts/DocIdRedir.aspx?ID=MMNJCVCXF7WK-21-71719</Url>
      <Description>MMNJCVCXF7WK-21-71719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2.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3.xml><?xml version="1.0" encoding="utf-8"?>
<ds:datastoreItem xmlns:ds="http://schemas.openxmlformats.org/officeDocument/2006/customXml" ds:itemID="{A8B76BC9-0BB5-497F-8280-EEFA8F5DD98A}">
  <ds:schemaRefs>
    <ds:schemaRef ds:uri="http://schemas.openxmlformats.org/officeDocument/2006/bibliography"/>
  </ds:schemaRefs>
</ds:datastoreItem>
</file>

<file path=customXml/itemProps4.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5.xml><?xml version="1.0" encoding="utf-8"?>
<ds:datastoreItem xmlns:ds="http://schemas.openxmlformats.org/officeDocument/2006/customXml" ds:itemID="{E5E8C421-7B7A-44F8-B856-10A90FD4D0AA}">
  <ds:schemaRefs>
    <ds:schemaRef ds:uri="http://schemas.microsoft.com/office/infopath/2007/PartnerControls"/>
    <ds:schemaRef ds:uri="http://purl.org/dc/terms/"/>
    <ds:schemaRef ds:uri="http://purl.org/dc/elements/1.1/"/>
    <ds:schemaRef ds:uri="7fae6ca9-b18b-49a6-bdfe-0a20c49a9ba9"/>
    <ds:schemaRef ds:uri="http://schemas.microsoft.com/sharepoint/v3"/>
    <ds:schemaRef ds:uri="http://purl.org/dc/dcmitype/"/>
    <ds:schemaRef ds:uri="http://schemas.openxmlformats.org/package/2006/metadata/core-properties"/>
    <ds:schemaRef ds:uri="http://schemas.microsoft.com/office/2006/documentManagement/types"/>
    <ds:schemaRef ds:uri="b8cb3cbd-ce5c-4a72-9da4-9013f91c590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CCF5AACF-65EF-49E3-8910-621B8E86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Debonair Brown</cp:lastModifiedBy>
  <cp:revision>2</cp:revision>
  <cp:lastPrinted>2020-01-15T16:10:00Z</cp:lastPrinted>
  <dcterms:created xsi:type="dcterms:W3CDTF">2022-11-22T12:07:00Z</dcterms:created>
  <dcterms:modified xsi:type="dcterms:W3CDTF">2022-11-22T12:07:00Z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0x0101007F645D6FBA204A029FECB8BFC6578C39005279853530254253B886E13194843F8A003AA4A7828D8545A79A93568015812350005AAF0A172B6F7246823998B0FF3313DD</vt:lpwstr>
  </property>
  <property fmtid="{D5CDD505-2E9C-101B-9397-08002B2CF9AE}" pid="3" name="IWPOrganisationalUnit">
    <vt:lpwstr>5;#NCTL|50b03fc4-9596-44c0-8ddf-78c55856c7ae</vt:lpwstr>
  </property>
  <property fmtid="{D5CDD505-2E9C-101B-9397-08002B2CF9AE}" pid="4" name="IWPOwner">
    <vt:lpwstr>3;#NCTA|8a55f59b-7d94-44dd-a344-986d47acf947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35a48a50-e376-4d66-bcab-bcc9dba19768</vt:lpwstr>
  </property>
</Properties>
</file>